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4A_358/2008 vom 6. November 2008</w:t>
      </w:r>
    </w:p>
    <w:p>
      <w:r>
        <w:t>Bundesgericht, 2008-11-06, FR</w:t>
      </w:r>
    </w:p>
    <w:p>
      <w:r>
        <w:rPr>
          <w:b/>
        </w:rPr>
        <w:t xml:space="preserve">Quelle: </w:t>
      </w:r>
      <w:r>
        <w:t>https://mcp.opencaselaw.ch/entscheid/bger_4A_358_2008</w:t>
      </w:r>
    </w:p>
    <w:p>
      <w:r>
        <w:t>FR: TF 4A_358/2008 du 6 novembre 2008</w:t>
      </w:r>
    </w:p>
    <w:p>
      <w:r>
        <w:t>IT: TF 4A_358/2008 del 6 novembre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Les frais judiciaires, arrêtés à 500 fr., sont mis à la charge du recourant.</w:t>
      </w:r>
    </w:p>
    <w:p>
      <w:r>
        <w:rPr>
          <w:b/>
        </w:rPr>
        <w:t>E. 3</w:t>
      </w:r>
    </w:p>
    <w:p>
      <w:r>
        <w:t>Le recourant versera à l'intimée une indemnité de 500 fr. à titre de dépens.</w:t>
      </w:r>
    </w:p>
    <w:p>
      <w:r>
        <w:rPr>
          <w:b/>
        </w:rPr>
        <w:t>E. 4</w:t>
      </w:r>
    </w:p>
    <w:p>
      <w:r>
        <w:t>Le présent arrêt est communiqué aux parties et à la Chambre des révisions civiles et pénales du Tribunal cantonal du canton de Vaud.</w:t>
      </w:r>
    </w:p>
    <w:p>
      <w:r>
        <w:t>Lausanne, le 6 novembre 2008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présidant: Le Greffier:</w:t>
      </w:r>
    </w:p>
    <w:p>
      <w:r>
        <w:t>Klett Huguenin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