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4A_357/2013 vom 6. Januar 2014</w:t>
      </w:r>
    </w:p>
    <w:p>
      <w:r>
        <w:t>Bundesgericht, 2014-01-06, DE</w:t>
      </w:r>
    </w:p>
    <w:p>
      <w:r>
        <w:rPr>
          <w:b/>
        </w:rPr>
        <w:t xml:space="preserve">Quelle: </w:t>
      </w:r>
      <w:r>
        <w:t>https://mcp.opencaselaw.ch/entscheid/bger_4A_357_2013</w:t>
      </w:r>
    </w:p>
    <w:p>
      <w:r>
        <w:t>FR: TF 4A_357/2013 du 6 janvier 2014</w:t>
      </w:r>
    </w:p>
    <w:p>
      <w:r>
        <w:t>IT: TF 4A_357/2013 del 6 gennaio 2014</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Die Beschwerde richtet sich gegen einen Endentscheid ( Art. 90 BGG ) in einer Zivilsache ( Art. 72 Abs. 1 BGG ), der von einem oberen kantonalen Gericht erging, das als Fachgericht für handelsrechtliche Streitigkeiten und einzige kantonale Instanz eingesetzt ist (Art. 75 Abs. 2lit. b BGG; vgl. auch BGE 138 III 471 E. 1.1 S. 475 f.). Da auch die übrigen Sachurteilsvoraussetzungen erfüllt sind, ist - unter Vorbehalt einer rechtsgenüglichen Begründung ( Art. 42 Abs. 2 und Art. 106 Abs. 2 BGG )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 BGE 134 V 138 E. 2.1 S. 143;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S. 22). Dies gilt auch, wenn im Zusammenhang mit einer Sachverhaltsrüge eine Verletzung des rechtlichen Gehörs gerügt wird, wobei die Glaubhaftmachung eines anderen Entscheids in der Sache bei korrekter Vorgehensweise genügt ( BGE 137 II 122 E. 3.4 S. 125 mit Hinweis; abweichend noch: Urteil 1C_35/2007 vom 17. Oktober 2007 E. 2.1 unter Hinweis auf die formelle Natur des Gehörsanspruchs). Auf eine Kritik an den tatsächlichen Feststellungen der Vorinstanz, die diesen Anforderungen nicht genügt, namentlich auf rein appellatorische Kritik an der Beweiswürdigung, ist nicht einzutreten ( BGE 133 II 249 E. 1.4.3 S. 254 f.).</w:t>
      </w:r>
    </w:p>
    <w:p>
      <w:r>
        <w:rPr>
          <w:b/>
        </w:rPr>
        <w:t>E. 3</w:t>
      </w:r>
    </w:p>
    <w:p>
      <w:r>
        <w:t>Der Beschwerdeführer bringt im Wesentlichen vor, die Vorinstanz habe nicht erkannt, dass zwischen ihm bzw. der Z.________ S.L. und der Beschwerdegegnerin kein Garantievertrag zustande gekommen sei, weshalb der Betrag der durch die Garantie verbürgten EUR 298'188.-- bei der Berechnung der Deckung/Unterdeckung der als Sicherheit dienenden Vermögenswerte im verpfändeten Portfolio nicht habe berücksichtigt werden dürfen. Somit sei die Beschwerdegegnerin nicht befugt gewesen, seine als Sicherheit dienenden Wertpapiere zu verkaufen.</w:t>
      </w:r>
    </w:p>
    <w:p>
      <w:r>
        <w:rPr>
          <w:b/>
        </w:rPr>
        <w:t>E. 3.1</w:t>
      </w:r>
    </w:p>
    <w:p>
      <w:r>
        <w:t>Die Vorinstanz hielt fest, die Vorbringen des Beschwerdeführers, wonach ihm der Garantieauftrag zur Unterschrift "vorgeschoben" wurde und damit nicht gültig zustande gekommen sei, würden bereits von vornherein als nicht bewiesen gelten, da er keine Beweisanträge gestellt habe.</w:t>
      </w:r>
    </w:p>
    <w:p>
      <w:r>
        <w:t>Davon abgesehen, sei unbestritten, dass der Beschwerdeführer mit A.________ und B.________ für die Z.________ S.L. am 21. April 2008 einen Garantieauftrag für eine Zahlungsgarantie der Beschwerdegegnerin in der Höhe von EUR 298'188.-- mit der Bank C.________ als Begünstige unterzeichnet haben. Der Garantieauftrag - wie auch der Kontokorrent-Kreditvertrag und die Verpfändungserklärung - seien nicht nur mit deren Unterschrift versehen worden, sondern über jeder Unterschrift sei auch noch ein Stempel der Z.________ S.L. angebracht und mit einer Schreibmaschine jeweils noch das Datum und der Ort, nämlich "N.________, den 21. April 2008" eingefügt worden.</w:t>
      </w:r>
    </w:p>
    <w:p>
      <w:r>
        <w:t>Von Seiten der Bank seien die Dokumente mit Datum vom 13. Mai 2008 versehen und unterschrieben worden. Daraus ergebe sich, dass der Beschwerdeführer sehr wohl Zeit gehabt habe, die Verträge bei sich zu Hause und ohne Zeitdruck zu prüfen. Da die Beschwerdegegnerin gewerbsmässig Bankgarantien ausstelle und als Beauftragte den Antrag nicht abgelehnt habe, sei das Auftragsverhältnis zwischen den Vertragsparteien gültig zustande gekommen. Selbst wenn Art. 5 OR Anwendung finden würde - wie dies vom Beschwerdeführer erst an der Hauptverhandlung vorgebracht wurde, weshalb fraglich sei, ob dieses Vorbringen noch rechtzeitig erfolgte - und der Auftrag von der Beschwerdegegnerin nicht rechtzeitig angenommen worden wäre, hätte dies die Vertragsentstehung nicht verhindert. Wenn der Beschwerdeführer nämlich an den Vertrag nicht hätte gebunden sein wollen, hätte er sich, und dies wäre ihm zuzumuten gewesen, der Beschwerdegegnerin umgehend nach dem Erhalt der Annahmemitteilung entsprechend erklären müssen.</w:t>
      </w:r>
    </w:p>
    <w:p>
      <w:r>
        <w:t>Schliesslich ergebe sich denn auch aus dem Schriftenwechsel zwischen dem Beschwerdeführer bzw. der Z.________ S.L. und der Beschwerdegegnerin, dass diese immer wieder auf die umstrittene Bankgarantie und deren Höhe Bezug genommen haben. Insgesamt könne damit klar nicht davon ausgegangen werden, der vom Beschwerdeführer unterzeichnete Garantieauftrag sei von der Beschwerdegegnerin zur Unterschrift "untergeschoben" worden und der Beschwerdeführer habe keine Kenntnis davon gehabt, ebenso wenig sei dieser von der Beschwerdegegnerin verspätet angenommen worden.</w:t>
      </w:r>
    </w:p>
    <w:p>
      <w:r>
        <w:rPr>
          <w:b/>
        </w:rPr>
        <w:t>E. 3.2</w:t>
      </w:r>
    </w:p>
    <w:p>
      <w:r>
        <w:t>Der Beschwerdeführer macht geltend, die Vorinstanz habe sich mit seinen Vorbringen nicht eingehend auseinander gesetzt und damit sein rechtliches Gehör verletzt: Die Vorinstanz habe nicht gewürdigt, dass die Beschwerdegegnerin seine Unterschrift auf dem Garantivertrag erschlichen habe, obwohl er vorgängig eine deutliche Absage zum Abschluss einer Bankgarantie erteilt habe. Ebenso habe die Vorinst anz die verspätete Annahme des so erschlichenen Garantieangebots falsch gewürdigt. Sodann habe die Vorinstanz verkannt, dass die Beweislast "für den Offertcharakter und den behaupteten Umfang der Bindungswirkung" bei der Beschwerdegegnerin gelegen habe, weshalb es nicht an ihm gewesen sei, Beweisanträge zu stellen.</w:t>
      </w:r>
    </w:p>
    <w:p>
      <w:r>
        <w:t>Schliesslich bringt der Beschwerdeführer vor, die Vorinstanz habe auch "die Kernpunkte seiner Argumentation" bzw. die Sittenwidrigkeit der Vertragsgestaltung nicht gewürdigt. Durch die von der Beschwerdegegnerin gegenüber der Bank C.________ abgegebene Garantieerklärung seien dem Beschwerdeführer bzw. der Z.________ S.L. rund ein Drittel des von der Bank C.________ gewährten Kredits gesperrt gewesen. Dieses von der Beschwerdegegnerin und der Bank C.________ vermittelte Darlehenssystem habe sich demnach nicht nur als wirtschaftlich vollkommen unsinnig, sondern sogar schädigend herausgestellt, worauf die Vorinstanz in ihrem Entscheid nicht eingegangen sei.</w:t>
      </w:r>
    </w:p>
    <w:p>
      <w:r>
        <w:rPr>
          <w:b/>
        </w:rPr>
        <w:t>E. 3.3</w:t>
      </w:r>
    </w:p>
    <w:p>
      <w:r>
        <w:t>Der Beschwerdeführer verkennt, dass die Vorinstanz - ohne Verletzung des rechtlichen Gehörs - nicht auf alle seine Vorbringen eingehen muss; nach der Rechtsprechung ist nicht erforderlich, dass sich die Vorinstanz mit allen Parteistandpunkten einlässlich auseinandersetzt und jedes einzelne Vorbringen ausdrücklich widerlegt. Sie kann sich auf diejenigen Gesichtspunkte beschränken, die für den Entscheid wesentlich sind (vgl. BGE 133 III 439 E. 3.3 S. 445 ; 129 I 232 E. 3.2 S. 236 ; 126 I 97 E. 2b S. 102 f.). Aus den Vorbringen des Beschwerdeführers geht jedoch ohnehin nicht hervor, mit welchen Parteistandpunkten sich die Vorinstanz nicht auseinandergesetzt bzw. welche Vorbringen sie nicht oder nicht hinreichend gewürdigt haben soll. Die Vorinstanz legt eingehend dar, weshalb nicht angenommen werden könne, die Beschwerdegegnerin habe dem Beschwerdeführer den Garantieauftrag zur Unterschrift "untergeschoben" oder verheimlicht und weshalb die Annahmeerklärung seitens der Beschwerdegegnerin rechtzeitig erfolgt sei. Mit diesen Erwägungen setzt sich der Beschwerdeführer jedoch kaum auseinander:</w:t>
      </w:r>
    </w:p>
    <w:p>
      <w:r>
        <w:t>Der Beschwerdeführer bringt abermals vor, er habe aufgrund der im Laufe der stundenlangen Vertragsverhandlungen am 21. April 2008 geschwundenen Konzentration und der Menge der zu leistenden Unterschriften die Übersicht verloren, welche Dokumente genau unterschrieben worden seien. Die Beschwerdegegnerin habe ihm dabei den vorgedruckten Auftrag zur Erteilung einer Bankgarantie einfach "untergeschoben", weshalb die Bankgarantie nicht gültig zustande gekommen sei. Damit setzt sich der Beschwerdeführer aber keineswegs mit der Feststellung der Vorinstanz auseinander, wonach es ihm - trotz den von der Beschwerdegegnerin angeblich untergeschobenen Unterlagen - dennoch möglich gewesen sei, auf jedem unterschriebenen Dokument jeweils mit der Schreibmaschine noch das Datum und den Ort einzufügen. Ebenso wenig setzt sich der Beschwerdeführer mit den Erwägungen der Vorinstanz auseinander, wonach die Annahmeerklärung der Beschwerdegegnerin auf den Garantieantrag rechtzeitig erfolgt sei. Er begnügt sich damit vorzutragen, die Vorinstanz habe sein entsprechendes Vorbringen nicht gewürdigt. Dabei verkennt er jedoch, dass wenn der angefochtene Entscheid auf mehreren selbstständig tragenden Begründungen beruht, er für jede einzelne darzutun hat, weshalb sie Recht verletzt (vgl. BGE 133 IV 119 E. 6.3 S. 120 f.; vgl. auch BGE 132 III 555 E. 3.2 S. 560). Dies unterlässt der Beschwerdeführer und legt insbesondere nicht dar, weshalb es ihm - selbst wenn angenommen werden sollte, die Annahmeerklärung seitens der Beschwerdegegnerin sei verspätet erfolgt - nicht möglich oder zumutbar gewesen sein soll, der Beschwerdegegnerin mitzuteilen, die Annahme sei verspätet erfolgt und damit kein Vertrag zustande gekommen, zumal er ja geltend macht, dieser sei von ihm nicht gewollt gewesen. Aus den tatsächlichen Feststellungen der Vorinstanz geht vielmehr hervor, dass der Beschwerdeführer in einem Schreiben an die Beschwerdegegnerin selber auf das Bestehen der Bankgarantie Bezug genommen hat, weshalb die Vorinstanz ohne in Willkür zu verfallen davon ausgehen durfte, diese sei gültig zustande gekommen.</w:t>
      </w:r>
    </w:p>
    <w:p>
      <w:r>
        <w:t>Schliesslich verkennt der Beschwerdeführer, dass das Bundesgericht - unter Vorbehalt einer rechtsgenüglichen Sachverhaltsrüge - an den von der Vorinstanz festgestellten Sachverhalt gebunden ist (vgl. E. 2 hievor); soweit der Beschwerdeführer vorbringt, die Vorinstanz habe sich nicht mit dem "Konstrukt" der verschiedenen Verträge auseinandergesetzt, zeigt er nicht mit Aktenhinweisen auf, ein solches Vorbringen bereits vor der Vorinstanz vorgebracht zu haben, weshalb darauf nicht einzutreten ist.</w:t>
      </w:r>
    </w:p>
    <w:p>
      <w:r>
        <w:rPr>
          <w:b/>
        </w:rPr>
        <w:t>E. 3.4</w:t>
      </w:r>
    </w:p>
    <w:p>
      <w:r>
        <w:t>Der Vorinstanz kann demnach keine Verletzung verfassungsmässiger Rechte und von Bundesrecht vorgeworfen werden. Damit erübrigt es sich, auf die weiteren Vorbringen des Beschwerdeführers bezüglich des Schadenersatzes einzugehen.</w:t>
      </w:r>
    </w:p>
    <w:p>
      <w:r>
        <w:rPr>
          <w:b/>
        </w:rPr>
        <w:t>E. 4</w:t>
      </w:r>
    </w:p>
    <w:p>
      <w:r>
        <w:t>Nach dem Gesagten ist die Beschwerde abzuweisen, soweit darauf eingetreten werden kann. Dem Ausgang des Verfahrens entsprechend wird der Beschwerdeführer kosten- und entschädigungspflichtig (Art. 66Abs.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