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4A_357/2008 vom 28. November 2008</w:t>
      </w:r>
    </w:p>
    <w:p>
      <w:r>
        <w:t>Bundesgericht, 2008-11-28, DE</w:t>
      </w:r>
    </w:p>
    <w:p>
      <w:r>
        <w:rPr>
          <w:b/>
        </w:rPr>
        <w:t xml:space="preserve">Quelle: </w:t>
      </w:r>
      <w:r>
        <w:t>https://mcp.opencaselaw.ch/entscheid/bger_4A_357_2008</w:t>
      </w:r>
    </w:p>
    <w:p>
      <w:r>
        <w:t>FR: TF 4A_357/2008 du 28 novembre 2008</w:t>
      </w:r>
    </w:p>
    <w:p>
      <w:r>
        <w:t>IT: TF 4A_357/2008 del 28 novembre 2008</w:t>
      </w:r>
    </w:p>
    <w:p>
      <w:pPr>
        <w:pStyle w:val="Heading2"/>
      </w:pPr>
      <w:r>
        <w:t>Erwägungen</w:t>
      </w:r>
    </w:p>
    <w:p>
      <w:r>
        <w:rPr>
          <w:b/>
        </w:rPr>
        <w:t>E. 1</w:t>
      </w:r>
    </w:p>
    <w:p>
      <w:r>
        <w:t>Das Bundesgericht prüft von Amtes wegen und mit freier Kognition, ob ein Rechtsmittel zulässig ist ( BGE 133 III 629 E. 2).</w:t>
      </w:r>
    </w:p>
    <w:p>
      <w:r>
        <w:rPr>
          <w:b/>
        </w:rPr>
        <w:t>E. 1.1</w:t>
      </w:r>
    </w:p>
    <w:p>
      <w:r>
        <w:t>Die Beschwerdeschrift an das Bundesgericht hat die Rechtsbegehren, deren Begründung mit Angabe der Beweismittel und die Unterschrift zu enthalten ( Art. 42 Abs. 1 BGG ). Fehlen die Begehren und/oder die Begründung oder missachten diese die gesetzlichen Anforderungen, und ist die Beschwerdefrist abgelaufen, wird ohne weiteres auf die Beschwerde nicht eingetreten. Eine Nachfrist zur Verbesserung wird nicht gesetzt ( BGE 133 III 489 E. 3.3; betreffend die Begründung: BGE 134 II 244 ; MERZ, Basler Kommentar, N. 22 zu Art. 42 BGG ).</w:t>
      </w:r>
    </w:p>
    <w:p>
      <w:r>
        <w:rPr>
          <w:b/>
        </w:rPr>
        <w:t>E. 1.2</w:t>
      </w:r>
    </w:p>
    <w:p>
      <w:r>
        <w:t>Vorliegend stellt der Beschwerdeführer zur Sache überhaupt keine Begehren, weder in seiner Beschwerdeschrift vom 6. August 2008 noch in seinem ergänzenden Schreiben vom 24. Oktober 2008. Seine Beschwerde erweist sich bereits aus diesem Grund als unzulässig und es kann nicht auf sie eingetreten werden.</w:t>
      </w:r>
    </w:p>
    <w:p>
      <w:r>
        <w:rPr>
          <w:b/>
        </w:rPr>
        <w:t>E. 1.3</w:t>
      </w:r>
    </w:p>
    <w:p>
      <w:r>
        <w:t>Auch wären die Anforderungen an die Begründung nicht erfüllt, wird doch keine Rechtsverletzung aufgezeigt. Der Beschwerdeführer beharrt lediglich auf seinem Standpunkt, das an ihn gerichtete Kündigungsschreiben hätte nicht seiner - kranken - Ehefrau ausgehändigt werden dürfen. Er kritisiert die Erwägungen der Vorinstanz als "praxis- und realitätsfern". Dabei verkennt er, dass die Auffassung der Vorinstanz, wonach das an den Beschwerdeführer gerichtete Kündigungsschreiben seiner Ehefrau übergeben werden durfte und damit als rechtsgültig ihm zugestellt gilt, in Einklang mit der bundesgerichtlichen Rechtsprechung steht und nicht zu beanstanden ist ( BGE 118 II 42 ). Im Übrigen leidet die Argumentation des Beschwerdeführers an einem offensichtlichen Widerspruch, wenn er auf der einen Seite geltend macht, es sei aufgrund der Erkrankung seiner Ehefrau naheliegend, dass sie nicht "geeignet" sei, die Kündigungserklärung des Beschwerdegegners in Empfang zu nehmen, und auf der anderen Seite dafür hält, er habe die "Entwicklung", d.h. die Nichtweiterleitung des an ihn adressierten Kündigungsschreibens an ihn durch seine Frau nicht voraussehen können. Die in den Ergänzungen zur Beschwerde vorgetragene Behauptung, die Ehefrau sei im Zeitpunkt der Entgegennahme der Kündigung nicht urteilsfähig gewesen, ist neu und wäre daher nicht zu hören ( Art. 99 Abs. 1 BGG ).</w:t>
      </w:r>
    </w:p>
    <w:p>
      <w:r>
        <w:rPr>
          <w:b/>
        </w:rPr>
        <w:t>E. 2</w:t>
      </w:r>
    </w:p>
    <w:p>
      <w:r>
        <w:t>Mit dem heutigen Entscheid in der Hauptsache wird der Antrag auf Erteilung der aufschiebenden Wirkung der Beschwerde gegenstandslos, und der superprovisorisch erteilte Suspensiveffekt fällt dahin. Damit wird die Ausweisung vollstreckbar.</w:t>
      </w:r>
    </w:p>
    <w:p>
      <w:r>
        <w:rPr>
          <w:b/>
        </w:rPr>
        <w:t>E. 3</w:t>
      </w:r>
    </w:p>
    <w:p>
      <w:r>
        <w:t>Auf die Beschwerde ist nicht einzutreten. Bei diesem Verfahrensausgang wird der Beschwerdeführer kostenpflichtig ( Art. 66 Abs. 1 BGG ). Dem nicht anwaltlich vertretenen Beschwerdegegner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