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4A_357/2007 vom 8. April 2008</w:t>
      </w:r>
    </w:p>
    <w:p>
      <w:r>
        <w:t>Bundesgericht, 2008-04-08, FR</w:t>
      </w:r>
    </w:p>
    <w:p>
      <w:r>
        <w:rPr>
          <w:b/>
        </w:rPr>
        <w:t xml:space="preserve">Quelle: </w:t>
      </w:r>
      <w:r>
        <w:t>https://mcp.opencaselaw.ch/entscheid/bger_4A_357_2007</w:t>
      </w:r>
    </w:p>
    <w:p>
      <w:r>
        <w:t>FR: TF 4A_357/2007 du 8 avril 2008</w:t>
      </w:r>
    </w:p>
    <w:p>
      <w:r>
        <w:t>IT: TF 4A_357/2007 del 8 aprile 2008</w:t>
      </w:r>
    </w:p>
    <w:p>
      <w:pPr>
        <w:pStyle w:val="Heading2"/>
      </w:pPr>
      <w:r>
        <w:t>Erwägungen</w:t>
      </w:r>
    </w:p>
    <w:p>
      <w:r>
        <w:rPr>
          <w:b/>
        </w:rPr>
        <w:t>E. 1.1</w:t>
      </w:r>
    </w:p>
    <w:p>
      <w:r>
        <w:t>Interjeté par la partie demanderesse qui a succombé dans ses conclusions en paiement ( art. 76 al. 1 LTF ), dirigé contre un arrêt final ( art. 90 LTF ) rendu en matière civile ( art. 72 al. 1 LTF ) par une autorité cantonale de dernière instance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1.2</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Dans l'arrêt déféré, l'autorité cantonale, appréciant les preuves administrées, a retenu qu'un contrat de mandat avait été conclu oralement entre la demanderesse et la défenderesse, par l'entremise pour cette dernière de B.________ et C.________. Les magistrats vaudois ont considéré que ledit contrat était un «contrat de délégation de la gestion» de la défenderesse, qui ne pouvait entrer en force qu'à la suite d'une décision du conseil d'administration in corpore après établissement d'un règlement d'organisation. Or B.________ n'avait pas obtenu l'accord des autres membres du conseil d'administration de la défenderesse pour que la gestion de celle-ci soit déléguée à la demanderesse, de sorte qu'il y avait lieu d'admettre que l'accord passé entre la demanderesse et les deux seuls administrateurs B.________ et C.________ ne liaient pas la défenderesse. La Chambre des recours a en conséquence rejeté entièrement les prétentions de la demanderesse.</w:t>
      </w:r>
    </w:p>
    <w:p>
      <w:r>
        <w:rPr>
          <w:b/>
        </w:rPr>
        <w:t>E. 3</w:t>
      </w:r>
    </w:p>
    <w:p>
      <w:r>
        <w:t>La recourante se plaint d'une violation des art. 716a et 716b CO . Elle affirme que lorsqu'il s'agit de déléguer des compétences qui ne sont pas exercées à l'échelon suprême de la direction, à l'exemple de tâches opérationnelles, l'accord de l'entier du conseil d'administration n'est pas nécessaire. La recourante concède que si certaines des tâches qu'elle devait fournir à sa partie adverse relevait des compétences qui sont usuellement confiées aux organes supérieurs de direction, la majorité d'entre elles relevait de la marche ordinaire des affaires d'une société. A l'en croire, les juges cantonaux n'auraient pas saisi que les rapports juridiques qui peuvent se nouer entre une société anonyme et ses organes ou employés n'ont rien à voir avec le pouvoir de gestion sociale que ces rapports peuvent inclure. La recourante allègue qu'au pied du projet de contrat seules les signatures de B.________ et de C.________ étaient prévues, lesquels pouvaient engager la défenderesse conformément à l' art. 718a CO , et qu'il n'avait pas été envisagé que chaque membre du conseil d'administration appose sa signature sur cet acte. Elle soutient encore que le contrat oral litigieux n'avait pas eu d'autres effets sur le plan de la gestion que celui qui avait auparavant lié l'intimée au Groupe E.________, avec lequel cette dernière s'est toujours considérée comme engagée.</w:t>
      </w:r>
    </w:p>
    <w:p>
      <w:r>
        <w:rPr>
          <w:b/>
        </w:rPr>
        <w:t>E. 4.1</w:t>
      </w:r>
    </w:p>
    <w:p>
      <w:r>
        <w:t>Il résulte de l'état de fait qui lie le Tribunal fédéral ( art. 105 al. 1 LTF ) qu'à l'époque déterminante (i.e. fin 2003-début 2004), B.________ et C.________ étaient administrateurs de la défenderesse et qu'ils bénéficiaient pour celle-ci de la signature collective à deux. A la fin 2003, les administrateurs susnommés ont conclu, au nom de l'intimée, un contrat de mandat oral avec la recourante. Cet accord avait pour objet de déléguer la gestion de la défenderesse à la demanderesse, laquelle devait se conformer aux instructions émanant du président du conseil d'administration de la première société.</w:t>
      </w:r>
    </w:p>
    <w:p>
      <w:r>
        <w:t>Au cours d'une séance tenue le 21 janvier 2004, le conseil d'administration de la défenderesse s'est opposé à ce contrat, si bien que le mandat conclu précédemment a été résilié ex nunc ( art. 404 al. 1 CO ).</w:t>
      </w:r>
    </w:p>
    <w:p>
      <w:r>
        <w:t>Il sied donc de vérifier si la demanderesse, sur la base du mandat oral, a droit à la rémunération convenue pour le travail effectué avant la résiliation contractuelle, lequel a fait l'objet d'une facture se montant à 38'736 fr., TVA comprise.</w:t>
      </w:r>
    </w:p>
    <w:p>
      <w:r>
        <w:rPr>
          <w:b/>
        </w:rPr>
        <w:t>E. 4.2</w:t>
      </w:r>
    </w:p>
    <w:p>
      <w:r>
        <w:t>En droit de la société anonyme, le conseil d'administration représente la société à l'égard des tiers (art. 718 al. 1, 1re phrase, CO). Selon l' art. 718 al. 2 CO , le conseil d'administration peut déléguer le pouvoir de représentation en particulier à un ou plusieurs de ses membres. Il est possible de prévoir un droit de signature collectif à deux ( art. 718a al. 2 CO ). Le conseil d'administration doit communiquer au registre du commerce le nom des personnes qui ont le droit de représenter la société ( art. 720 CO ).</w:t>
      </w:r>
    </w:p>
    <w:p>
      <w:r>
        <w:t>Par la publication audit registre, la société fait connaître à l'extérieur qui est en droit de la représenter. Les membres du conseil d'administration chargés de représenter la société à l'égard des tiers ne sont pas des représentants au sens des art. 32 ss CO ; ils constituent l'organe par lequel s'exprime la volonté de la personne morale ( ATF 111 II 284 consid. 3b p. 289). Ils peuvent accomplir tous les actes juridiques qui ne sont pas exclus par le but social ( ATF 116 II 320 consid. 3a p. 323; 111 II 284 consid. 3b p. 288 s.). Ils engagent la société, peu importe s'ils trahissent alors l'intérêt social et agissent en réalité dans leur seul intérêt (cf. ATF 111 II 284 ). La société répond aussi de leurs actes illicites, même si le tiers aurait pu s'en rendre compte ( art. 722 CO ; ATF 121 III 176 ).</w:t>
      </w:r>
    </w:p>
    <w:p>
      <w:r>
        <w:t>A l'endroit des tiers, la société est liée par les actes qu'accomplissent ses organes dûment habilités selon l'inscription au registre du commerce. Il n'importe à cet égard que lesdits organes n'aient pas respecté les règles sociales de compétence internes, lesquelles exigeaient qu'ils obtiennent au préalable l'accord d'un organe supérieur, à l'exemple du conseil d'administration in corpore ou de l'assemblée générale. En effet, ces restrictions internes du droit de représenter la société anonyme concernent uniquement l'autorisation de représentation (Vertretungsbefugnis); elles ne déploient aucun effet externe. En revanche, la faculté d'engendrer des obligations juridiques pour la société à l'égard des tiers découle pour sa part du pouvoir de représentation (Vertretungsmacht), qui est matérialisé par les données figurant au registre du commerce. Les concepts juridiques de « Vertretungsbefugnis » et de « Vertretungsmacht » doivent être clairement différenciés (cf. Peter Forstmoser/Arthur Meier-Hayoz/Peter Nobel, Schweizeriches Aktienrecht, Berne 1996, § 30, n. 84 p. 347 et n. 100-101 p. 349; Peter Böckli, Schweizer Aktienrecht, 3e éd., § 13, n. 498 p. 1597).</w:t>
      </w:r>
    </w:p>
    <w:p>
      <w:r>
        <w:rPr>
          <w:b/>
        </w:rPr>
        <w:t>E. 4.3</w:t>
      </w:r>
    </w:p>
    <w:p>
      <w:r>
        <w:t>En l'espèce, B.________ et C.________ étaient membres du conseil d'administration chargé de représenter la défenderesse à l'égard des tiers ( art. 718 al. 1 CO ). Dotés d'un droit de signature collectif à deux, dûment inscrits au registre du commerce, ils disposaient du pouvoir de représentation (Vertretungsmacht).</w:t>
      </w:r>
    </w:p>
    <w:p>
      <w:r>
        <w:t>Il a été retenu en fait que les susnommés ont conclu le contrat de mandat litigieux avec la volonté de représenter la défenderesse. Cette dernière pouvait valablement déléguer à une autre société la gestion de ses affaires sociales, pour autant toutefois que son conseil d'administration en garde la haute main. Il n'est en effet pas possible pour un conseil d'administration de se désintéresser de la gestion en l'abandonnant à un tiers. Rien de tel in casu, dès l'instant où la recourante, dans le cadre de ses activités de management, devait suivre les instructions du président du conseil d'administration de l'intimée.</w:t>
      </w:r>
    </w:p>
    <w:p>
      <w:r>
        <w:t>Il suit de là que la défenderesse est liée par le contrat qu'a passé son organe de représentation.</w:t>
      </w:r>
    </w:p>
    <w:p>
      <w:r>
        <w:t>Certes, les deux administrateurs en question, par la conclusion de l'accord oral avec la recourante, ont porté une atteinte manifeste aux attributions du conseil d'administration de l'intimée qui sont intransmissibles et inaliénables (cf. art. 716a al. 1 CO ), au nombre desquelles figurent la nomination et la révocation des personnes chargées de la gestion et de la représentation ( art. 716a al. 1 ch. 4 CO ), soit la désignation des membres de la direction du niveau le plus élevé (cf. ATF 128 III 129 consid. 1b p. 133 in fine), dont fait incontestablement partie le Chief Executive Officer (CEO).</w:t>
      </w:r>
    </w:p>
    <w:p>
      <w:r>
        <w:t>Que les administrateurs B.________ et C.________ n'aient pas été au bénéfice de l'autorisation de représentation (Vertretungsbefugnis) ne concernent que les rapports internes de la défenderesse. Cette question est sans influence sur la validité du contrat conclu par celle-ci avec un tiers (i.e. la recourante), qui doit pouvoir se fier aux pouvoirs inscrits au registre du commerce. Tout au plus, les prénommés ont-ils pu engager leur responsabilité personnelle à l'égard de l'intimée (Forstmoser/Meier-Hayoz/Nobel, op. cit., § 30, n. 84 p. 347)</w:t>
      </w:r>
    </w:p>
    <w:p>
      <w:r>
        <w:t>Il n'a pas été constaté en fait que des circonstances devaient permettre à la recourante de penser que B.________ et C.________ n'avaient pas encore reçu l'accord du conseil d'administration au moment où ils ont conclu avec l'intimée le contrat de management. De toute manière, la bonne foi de la demanderesse est présumée ( art. 3 al. 1 CC ).</w:t>
      </w:r>
    </w:p>
    <w:p>
      <w:r>
        <w:t>Partant, l'intimée sera condamnée à payer à la recourante le montant facturé pour le travail accompli jusqu'à la résiliation du mandat, lequel, arrêté à 38'736 fr. par la note du 2 février 2004, n'a fait l'objet d'aucune discussion.</w:t>
      </w:r>
    </w:p>
    <w:p>
      <w:r>
        <w:rPr>
          <w:b/>
        </w:rPr>
        <w:t>E. 4.4</w:t>
      </w:r>
    </w:p>
    <w:p>
      <w:r>
        <w:t>En définitive, le recours doit être admis, l'arrêt attaqué étant annulé. Il est prononcé que la défenderesse est condamnée à payer à la demanderesse la somme de 38'736 fr. avec intérêts à 5 % l'an dès le 1er avril 2004. L'opposition formée par l'intimée dans la poursuite no ... de l'Office des poursuites et faillites de Nyon-Rolle est définitivement levée à concurrence de ce montant, en capital et intérêts.</w:t>
      </w:r>
    </w:p>
    <w:p>
      <w:r>
        <w:t>Vu la solution adoptée, l'intimée, qui succombe, paiera les frais judiciaires ( art. 66 al. 1 LTF ) et versera à la recourante une indemnité à titre de dépens ( art. 68 al. 1 et 2 LTF ). La cause sera retournée à l'autorité cantonale pour nouvelle décision sur les frais et dépens d'instance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