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4A_356/2015 vom 4. Februar 2016</w:t>
      </w:r>
    </w:p>
    <w:p>
      <w:r>
        <w:t>Bundesgericht, 2016-02-04, DE</w:t>
      </w:r>
    </w:p>
    <w:p>
      <w:r>
        <w:rPr>
          <w:b/>
        </w:rPr>
        <w:t xml:space="preserve">Quelle: </w:t>
      </w:r>
      <w:r>
        <w:t>https://mcp.opencaselaw.ch/entscheid/bger_4A_356_2015</w:t>
      </w:r>
    </w:p>
    <w:p>
      <w:r>
        <w:t>FR: TF 4A_356/2015 du 4 février 2016</w:t>
      </w:r>
    </w:p>
    <w:p>
      <w:r>
        <w:t>IT: TF 4A_356/2015 del 4 febbraio 2016</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w:t>
      </w:r>
    </w:p>
    <w:p>
      <w:r>
        <w:rPr>
          <w:b/>
        </w:rPr>
        <w:t>E. 1.2</w:t>
      </w:r>
    </w:p>
    <w:p>
      <w:r>
        <w:t>Die Beschwerdeführerinnen sind mit ihren vorinstanzlich gestellten Begehren um Klageabweisung unterlegen und sind damit sowohl formell wie materiell durch den angefochtenen Schiedsspruch beschwert ( Art. 76 Abs. 1 BGG ). Diese Beschwer bleibt auch dann bestehen, wenn die Beschwerdeführerinnen den Betrag, zu dem sie verurteilt wurden, auf Betreibung hin und mangels aufschiebender Wirkung der vorliegenden Beschwerde in Zivilsachen bereits an die Beschwerdegegnerinnen überwiesen haben. Die Vorbringen der Beschwerdegegnerinnen, mit denen diese den Beschwerdeführerinnen aufgrund der erfolgten Überweisung ein Rechtsschutzinteresse am vorliegenden Anfechtungsverfahren absprechen wollen, sind unbehelflich.</w:t>
      </w:r>
    </w:p>
    <w:p>
      <w:r>
        <w:rPr>
          <w:b/>
        </w:rPr>
        <w:t>E. 1.3</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4A_424/2011 vom 2. November 2011 E. 1.3 mit Hinweisen).</w:t>
      </w:r>
    </w:p>
    <w:p>
      <w:r>
        <w:rPr>
          <w:b/>
        </w:rPr>
        <w:t>E. 1.4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1.5</w:t>
      </w:r>
    </w:p>
    <w:p>
      <w:r>
        <w:t>Diese Grundsätze verkennen die Beschwerdeführerinnen, soweit sie unter dem Titel "I. Verfahren vor dem Schiedsgericht" die Hintergründe des Rechtsstreits und den Ablauf des Schiedsverfahrens aus eigener Sicht schildern und dabei teilweise von den tatsächlichen Feststellungen des Schiedsgerichts abweichen oder diese erweitern, ohne substanziiert Ausnahmen von der Sachverhaltsbindung geltend zu machen oder anderweitig substanziierte Rügen nach Art. 393 ZPO vorzutragen. Die entsprechenden Ausführungen haben unbeachtet zu bleiben. Gehörige Rügen, die im Folgenden zu untersuchen sind, erheben die Beschwerdeführerinnen erst unter dem Titel "II. Rechtliches".</w:t>
      </w:r>
    </w:p>
    <w:p>
      <w:r>
        <w:rPr>
          <w:b/>
        </w:rPr>
        <w:t>E. 2</w:t>
      </w:r>
    </w:p>
    <w:p>
      <w:r>
        <w:t>Die Beschwerdeführerinnen beanstanden, das Schiedsgericht habe sich bei der Berechnung "project losses" gemäss Ziff. 11.1 des "Purchase Contract" auf falsche Vorkalkulationswerte gestützt.</w:t>
      </w:r>
    </w:p>
    <w:p>
      <w:r>
        <w:rPr>
          <w:b/>
        </w:rPr>
        <w:t>E. 2.1</w:t>
      </w:r>
    </w:p>
    <w:p>
      <w:r>
        <w:t>Die entsprechende Ziffer lautet wie folgt:</w:t>
      </w:r>
    </w:p>
    <w:p>
      <w:r>
        <w:t>"J.________ shall, notwithstanding anything to the contrary contained in any consortium agreement concluded between J.________ and the Purchaser as listed in Annex 4.1, and in addition to J.________'s sole liability under the subcontracts referred to in Article 7.2, be liable for and shall bear to the extent of an amount equal to fifty (50) per cent (except of the contract NSB EMU Class 72 for which J.________ shall be liable for and shall bear the total amount) of the aggregate project losses of the contracts listed in Annex 4.1, provided however, the Purchaser will use its best efforts to perform such contracts. Such aggregate project losses shall be calculated as the sum of the difference between post calculation (Nachkalkulation) on the one hand and the sum of pre-calculation plus respective provision on the other hand of the aggregate of the contracts as listed in Annex 4.1. It is understood, that such calculation is based on the full cost (referred to as Gesamtkosten II in Annex 7.2) of such contracts, comprising cost of goods sold (referred to as Gesamtkosten I) plus sales, general and administrative cost (Vertriebs- und Verwaltungskostenzuschlag) to be determined as set forth in the Annex 7.2."</w:t>
      </w:r>
    </w:p>
    <w:p>
      <w:r>
        <w:t>In freier Übersetzung auf Deutsch:</w:t>
      </w:r>
    </w:p>
    <w:p>
      <w:r>
        <w:t>"J.________ soll, ungeachtet gegenteiliger Bestimmungen in einem Konsortialvertrag zwischen J.________ und der Käuferin gemäss Annex 4.1, und zusätzlich zur alleinigen Haftung von J.________ gemäss den Unteraufträgen gemäss Artikel 7.2, 50% (mit Ausnahme des Projekts NSB EMU Class 72, für welches J.________ den vollen Betrag übernimmt und dafür haftet) der aggregierten 'project losses' der Verträge gemäss Annex 4.1 übernehmen und dafür haften, unter der Bedingung, dass die Käuferin die Vertrage unter Anwendung höchster Sorgfalt ausführt. Diese aggregierten 'project losses' soIlen berechnet werden als die Summe der Differenz zwischen Nachkalkulation einerseits und der Summe der Vorkalkulation plus die Summe der jeweiligen Rückstellungen andererseits sämtlicher Verträge, welche in Annex 4.1 aufgelistet sind. Die Parteien sind sich einig, dass diese Berechnung auf den vollen Kosten (in Annex 7. 2 Gesamtkosten II genannt) dieser Verträge beruht, welche sich aus Gesamtkosten I plus Vertriebs- und Verwaltungskostenzuschlag zusammensetzen, zu berechnen gemäss Annex 7.2."</w:t>
      </w:r>
    </w:p>
    <w:p>
      <w:r>
        <w:rPr>
          <w:b/>
        </w:rPr>
        <w:t>E. 2.2</w:t>
      </w:r>
    </w:p>
    <w:p>
      <w:r>
        <w:t>Gemäss den Feststellungen im angefochtenen Entscheid behaupteten die Beschwerdegegnerinnen im Schiedsverfahren, dass bei der in Ziff. 11.1 vereinbarten Berechnung der "project losses" zwar auf die sog. Gesamtkosten II abzustellen sei, dies aber nicht bedeute, dass ein blosser Kostenvergleich anzustellen sei. Vielmehr müssten die auf den Projekten erzielten Gewinne ebenfalls berücksichtigt werden. Wenn der zu erzielende Gewinn höher veranschlagt worden sei, als er tatsächlich ausgefallen ist, so sei die Differenz ebenfalls als Verlust hälftig zu entschädigen.</w:t>
      </w:r>
    </w:p>
    <w:p>
      <w:r>
        <w:t>Diesen Berechnungsmodus bestritten die Beschwerdeführerinnen, welche dafür hielten, dass bei der Berechnung der "project losses" allein auf die Gesamtkosten II abzustellen sei ohne Berücksichtigung der Erlösseite. Bei der Verlustberechnung sei einzig auf die Kosten abzustellen; eine Gewinn- oder Verlustbeteiligung hätten die Parteien nicht vereinbart. Damit laute die Abrechnungsformel wie folgt: Projektverluste = Gesamtkosten II gemäss Vorkalkulationen + Rückstellungen - Gesamtkosten II gemäss Nachkalkulationen.</w:t>
      </w:r>
    </w:p>
    <w:p>
      <w:r>
        <w:t>Das Schiedsgericht kam in Würdigung der erhobenen Beweismittel zum Schluss, dass die Parteien grundsätzlich die von den Beschwerdeführerinnen behauptete Berechnungsmethode vereinbart hätten.</w:t>
      </w:r>
    </w:p>
    <w:p>
      <w:r>
        <w:rPr>
          <w:b/>
        </w:rPr>
        <w:t>E. 2.3</w:t>
      </w:r>
    </w:p>
    <w:p>
      <w:r>
        <w:t>In der Folge ermittelte das Schiedsgericht die Grundlage für die Vorkalkulationswerte. Es stützte sich hierzu auf die Projektvorkalkulationen, die im Rahmen einer Joint Due Diligence durch die KPMG durchgeführt worden sind. Nach Auffassung des Schiedsgerichts sind dabei in den Tabellen in Enclosure 6 des Due Diligence-Reports die Werte der totalen Gesamtkosten II per 30. April 1998 massgeblich und nicht die geschätzten Fertigstellungskosten (sog. Gesamtkosten II "Cost to complete"), auf die sich die Beschwerdeführerinnen (implizit) berufen haben. Denn die Gesamtkosten II "Cost to complete" entsprächen dem geschätzten Wert der nachkalkulierten Gesamtkosten II und nicht den Vorkalkulationswerten. Würde der Argumentation der Beschwerdeführerinnen, es sei auf die Fertigstellungskosten abzustellen, gefolgt werden, so müssten beispielsweise für das Projekt SBB Ameise 1. Serie Fr. 34'431'761.56 im Rahmen der Vorkalkulation berücksichtigt werden, obwohl per 30. April 1998 lediglich Kosten von Fr. 218'776.19 aufgelaufen seien. Diese Berechnung würde mithin dazu führen, dass der Betrag von rund Fr. 34 Mio. (plus Rückstellungen) vom Betrag der Gesamtkosten II aus der Nachkalkulation abgezogen würde und der Beschwerdegegnerin 1 somit Kosten im Umfang von Fr. 34 Mio. im Rahmen des "Purchase Contract" nicht ersetzt würden. Eine solch substantielle Kostenbeteiligung der Beschwerdegegnerin 1 bei der Abwicklung der Annex 4.1-Projekten sei aber - so das Schiedsgericht - nicht im "Purchase Contract" enthalten und werde von den Parteien auch nicht behauptet. Die Beklagten hätten insbesondere nicht gezeigt und auch nicht behauptet, dass die J.________ bei Offertstellung kostendeckend offeriert hatte und es deshalb dem übereinstimmenden Willen der Parteien des "Purchase Contract" entsprochen habe, dass nur entschädigt werden soll, was über die offerierten Fertigstellungskosten hinausgeht.</w:t>
      </w:r>
    </w:p>
    <w:p>
      <w:r>
        <w:rPr>
          <w:b/>
        </w:rPr>
        <w:t>E. 3</w:t>
      </w:r>
    </w:p>
    <w:p>
      <w:r>
        <w:t>Gegen die Berücksichtigung der totalen Gesamtkosten II per 30. April 1998 anstelle der offerierten Fertigstellungskosten als Basis der Vorkalkulationswerte bringen die Beschwerdeführerinnen vor, das Schiedsgericht weiche damit von übereinstimmenden Behauptungen der Parteien ab, womit es gegen das Willkürverbot ( Art. 393 lit. e ZPO ) und - aufgrund der damit verbundenen "Überraschung " - auch gegen das rechtliche Gehör ( Art. 393 lit. d ZPO ) verstossen habe.</w:t>
      </w:r>
    </w:p>
    <w:p>
      <w:r>
        <w:t>Diese Rügen sind zum Vornherein unbegründet, da sie auf falschen Prämissen beruhen: Von übereinstimmenden Parteipositionen hinsichtlich der Vorkalkulationswerte kann - wie sowohl das Schiedsgericht als auch die Beschwerdegegnerinnen in ihren Vernehmlassungen zutreffend ausführen - nämlich keine Rede sein. Ausweislich des oben in E. 2.2 wiedergegebenen Prozesssachverhalts behaupteten die Parteien im Gegenteil nämlich völlig unterschiedliche Berechnungsmodi: Während die Beschwerdegegnerinnen den Umfang der Verlusttragung auf der Basis der Erlöse berechnen wollten, boten die Beschwerdeführerinnen nur für eine Berechnung auf Basis der Kosten Hand. In der Folge nahm das Schiedsgericht bei seinen Berechnungen grundsätzlich (und insoweit in Übereinstimmung mit den Vorbringen der Beschwerdeführerinnen) einen Kostenvergleich vor, stellte aber nicht auf die geschätzten Fertigstellungskosten, sondern auf die per 30. April 1998 aufgelaufenen Kosten ab. Darin lässt sich keine Missachtung gemeinsamer Parteipositionen ausmachen, denn selbst wenn die Beschwerdegegnerinnen in ihren Ausführungen mitunter auch auf Fertigstellungskosten Bezug genommen haben, dann eben nur unter der Voraussetzung, dass es letztlich auf die Erlöse ankommt. Gemeinsame Parteipositionen im Rahmen des kostenbasierten Berechnungsmodus lagen damit aber nicht vor, womit die entsprechenden Willkür- und Gehörsrügen ins Leere zielen.</w:t>
      </w:r>
    </w:p>
    <w:p>
      <w:r>
        <w:rPr>
          <w:b/>
        </w:rPr>
        <w:t>E. 4</w:t>
      </w:r>
    </w:p>
    <w:p>
      <w:r>
        <w:t>Nebst der angeblichen Missachtung übereinstimmender Parteipositionen tragen die Beschwerdeführerinnen weitere Willkür- bzw. Aktenwidrigkeitsrügen vor:</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w:t>
      </w:r>
    </w:p>
    <w:p>
      <w:r>
        <w:t>Die Umschreibung des Willkürtatbestandes in Art. 393 lit. e ZPO stimmt mit dem Begriff der Willkür überein, den das Bundesgericht zu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 4A_390/2014 vom 20. Februar 2015 E. 3.2).</w:t>
      </w:r>
    </w:p>
    <w:p>
      <w:r>
        <w:rPr>
          <w:b/>
        </w:rPr>
        <w:t>E. 4.2</w:t>
      </w:r>
    </w:p>
    <w:p>
      <w:r>
        <w:t>Die Beschwerdeführerinnen rügen als willkürlich, da "in stossender Weise dem Gerechtigkeitsgedanken" zuwiderlaufend, dass das Schiedsgericht "zugunsten" der Beschwerdegegnerinnen eigene Berechnungen vorgenommen habe. Dieser Einwand verfängt nicht: Das Schiedsgericht hat seinen Berechnungen grundsätzlich den von den Beschwerdeführerinnen behaupteten Abrechnungsmodus zugrunde gelegt, dabei aber - mit nachvollziehbarer und insoweit vertretbarer Begründung - nicht auf die Fertigstellungskosten, sondern auf die per 30. April 1998 aufgelaufenen Kosten abgestellt. Inwiefern damit gegen den "Gerechtigkeitsgedanken" verstossen worden sein soll, ist nicht ersichtlich.</w:t>
      </w:r>
    </w:p>
    <w:p>
      <w:r>
        <w:rPr>
          <w:b/>
        </w:rPr>
        <w:t>E. 4.3</w:t>
      </w:r>
    </w:p>
    <w:p>
      <w:r>
        <w:t>Weiter werfen die Beschwerdeführerinnen dem Schiedsgericht diverse aktenwidrige Feststellungen vor. Dieses führte aus und stellte fest, dass eine Berücksichtigung der Fertigstellungskosten eine sehr hohe Kostenbeteiligung der Beschwerdegegnerinnen zur Folge gehabt hätte, die Parteien aber keine derart substantielle Kostenbeteiligung behauptet hätten (oben E. 2.3). Diese Feststellung ist nach Auffassung der Beschwerdeführerinnen aktenwidrig. Ebenfalls aktenwidrig seien die Feststellungen, wonach die Beschwerdeführerinnen nicht behauptet hätten, dass die Projekte kostendeckend hätten durchgeführt werden können und es dem übereinstimmenden Parteiwillen entsprochen habe, dass lediglich die über die offerierten Fertigstellungskosten hinausgehenden Beträge entschädigt werden sollen. Vielmehr treffe zu, dass die Beschwerdeführerinnen entsprechende Behauptungen aufgestellt haben.</w:t>
      </w:r>
    </w:p>
    <w:p>
      <w:r>
        <w:t>Die Rügen gehen fehl: Bei den beanstandeten Feststellungen handelt es sich um solche zum Prozesssachverhalt, die für das Bundesgericht verbindlich sind (oben E. 1.4). Die Beschwerdeführerinnen zeigen nicht auf, dass das Schiedsgericht dabei von unrichtigen tatsächlichen Prämissen ausgegangen ist, die mit den Akten unvereinbar sind; die von ihnen genannten Stellen in ihren Prozesseingaben vermögen dies nicht zu belegen. Die entsprechenden Feststellungen darüber, was die Parteien (sinngemäss) behauptet bzw. nicht behauptet haben, beruhen vielmehr auf einer wertenden Würdigung dessen, was die Parteien in ihren Eingaben ausgeführt haben, und somit auf einer Beweiswürdigung, die gerade nicht Gegenstand einer Willkürrüge i.S. von Art. 393 lit. e ZPO ist. Eine aktenwidrige Feststellung des Prozesssachverhalts liegt nicht vor.</w:t>
      </w:r>
    </w:p>
    <w:p>
      <w:r>
        <w:rPr>
          <w:b/>
        </w:rPr>
        <w:t>E. 5</w:t>
      </w:r>
    </w:p>
    <w:p>
      <w:r>
        <w:t>In diesem Zusammenhang rügen die Beschwerdeführerinnen weiter eine Verletzung des rechtlichen Gehörs i.S. von Art. 393 lit. d ZPO , da das Schiedsgericht die entsprechenden Behauptungen zur Kostenbeteiligung bzw. der kostendeckenden Durchführung der Projekte "übersehen " bzw. "missverstanden" habe.</w:t>
      </w:r>
    </w:p>
    <w:p>
      <w:r>
        <w:t>Auch diese Rüge verfängt nicht: Das Schiedsgericht hat die entsprechenden Behauptungen nicht übersehen, sondern vielmehr überprüft und einer Würdigung unterzogen. Ob es sie richtig verstanden hat, ist hier nicht zu prüfen, ergibt sich doch aus dem rechtlichen Gehör kein Anspruch auf einen richtigen Entscheid, weshalb es auch nicht Sache des Bundesgerichts ist zu überprüfen, ob das Schiedsgericht sämtliche Aktenstellen berücksichtigt und richtig verstanden hat ( BGE 133 III 235 E. 5.2 S. 249; 127 III 576 E. 2 S. 578).</w:t>
      </w:r>
    </w:p>
    <w:p>
      <w:r>
        <w:rPr>
          <w:b/>
        </w:rPr>
        <w:t>E. 6</w:t>
      </w:r>
    </w:p>
    <w:p>
      <w:r>
        <w:t>Schliesslich rügen die Beschwerdeführerinnen einen Verstoss gegen den Dispositionsgrundsatz von Art. 393 lit. c ZPO , indem das Schiedsgericht den Beschwerdegegnerinnen für die Projekte RhB GE 4/4 sowie SBB Ameise 2 "massiv mehr zugesprochen " habe, als von diesen eingeklagt worden sei.</w:t>
      </w:r>
    </w:p>
    <w:p>
      <w:r>
        <w:rPr>
          <w:b/>
        </w:rPr>
        <w:t>E. 6.1</w:t>
      </w:r>
    </w:p>
    <w:p>
      <w:r>
        <w:t>Nach der bundesgerichtlichen Rechtsprechung liegt keine Verletzung des Grundsatzes "</w:t>
      </w:r>
    </w:p>
    <w:p>
      <w:r>
        <w:t>ne eat iudex ultra petita partium " vor, wenn der eingeklagte Anspruch in rechtlicher Hinsicht ganz oder teilweise abweichend von den Begründungen der Parteien gewürdigt wird, sofern er vom Rechtsbegehren gedeckt ist ( BGE 120 II 172 E. 3a S. 175; Urteile 4A_684/2014 vom 2. Juli 2015 E. 3.2.1; 4A_440/2010 vom 7. Januar 2011 E. 3.1; 4A_428/2010 vom 9. November 2010 E. 3.1; 4P.134/2006 vom 7. September 2006 E. 4; vgl. auch BGE 130 III 35 E. 5 S. 39). Das Schiedsgericht ist aber an den Gegenstand und Umfang des Begehrens gebunden, insbesondere wenn die Klägerin ihre Ansprüche im Rechtsbegehren selbst qualifiziert oder beschränkt (Urteile 4A_440/2010 vom 7. Januar 2011 E. 3.1; 4A_464/2009 vom 15. Februar 2010 E. 4.1; 4A_220/2007 vom 21. September 2007 E. 7.2; vgl. auch Urteil 4A_307/2011 vom 16. Dezember 2011 E. 2.4).</w:t>
      </w:r>
    </w:p>
    <w:p>
      <w:r>
        <w:rPr>
          <w:b/>
        </w:rPr>
        <w:t>E. 6.2</w:t>
      </w:r>
    </w:p>
    <w:p>
      <w:r>
        <w:t>Die Dispositiv-Ziffern Nr. 1 und 2 des Schiedsspruchs halten sich im Rahmen der Klagebegehren Nr. 1 und 2. Das Schiedsgericht hat den Beschwerdegegnerinnen mithin nicht mehr zugesprochen, als diese beantragt haben. In den Klagebegehren wurden auch keine Beträge nach Einzelprojekten aufgeschlüsselt, sondern lediglich Totalbeträge aufgeführt. An den Gegenstand und den Umfang dieser Totalbeträge hat sich das Schiedsgericht gehalten. Der Beschwerdegrund von Art. 393 lit. c ZPO ist mithin nicht gegeben.</w:t>
      </w:r>
    </w:p>
    <w:p>
      <w:r>
        <w:rPr>
          <w:b/>
        </w:rPr>
        <w:t>E. 7</w:t>
      </w:r>
    </w:p>
    <w:p>
      <w:r>
        <w:t>Die Beschwerde ist abzuweisen, soweit darauf einzutreten ist.</w:t>
      </w:r>
    </w:p>
    <w:p>
      <w:r>
        <w:t>Bei diesem Ausgang des Verfahrens werden die Beschwerdeführerinnen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