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356/2008 vom 2. Dezember 2008</w:t>
      </w:r>
    </w:p>
    <w:p>
      <w:r>
        <w:t>Bundesgericht, 2008-12-02, FR</w:t>
      </w:r>
    </w:p>
    <w:p>
      <w:r>
        <w:rPr>
          <w:b/>
        </w:rPr>
        <w:t xml:space="preserve">Quelle: </w:t>
      </w:r>
      <w:r>
        <w:t>https://mcp.opencaselaw.ch/entscheid/bger_4A_356_2008</w:t>
      </w:r>
    </w:p>
    <w:p>
      <w:r>
        <w:t>FR: TF 4A 356/2008 du 2 décembre 2008</w:t>
      </w:r>
    </w:p>
    <w:p>
      <w:r>
        <w:t>IT: TF 4A 356/2008 del 2 dicembre 2008</w:t>
      </w:r>
    </w:p>
    <w:p>
      <w:pPr>
        <w:pStyle w:val="Heading2"/>
      </w:pPr>
      <w:r>
        <w:t>Regeste</w:t>
      </w:r>
    </w:p>
    <w:p>
      <w:r>
        <w:t>contrat d'entreprise | Droit des contrats</w:t>
      </w:r>
    </w:p>
    <w:p>
      <w:pPr>
        <w:pStyle w:val="Heading2"/>
      </w:pPr>
      <w:r>
        <w:t>Erwägungen</w:t>
      </w:r>
    </w:p>
    <w:p>
      <w:r>
        <w:rPr>
          <w:b/>
        </w:rPr>
        <w:t>E. 1</w:t>
      </w:r>
    </w:p>
    <w:p>
      <w:r>
        <w:t>La défenderesse est d'ores et déjà condamnée à effectuer l'application d'un enduit bitumineux sur les murs contre terre de la villa; le demandeur n'a donc plus d'intérêt à obtenir, éventuellement, la révision des jugements antérieurs qui lui refusaient cette prestation. Il s'ensuit que le recours est caduc en ce qui concerne la première des deux demandes de révision ( art. 32 al. 2 LTF ).</w:t>
      </w:r>
    </w:p>
    <w:p>
      <w:r>
        <w:rPr>
          <w:b/>
        </w:rPr>
        <w:t>E. 2</w:t>
      </w:r>
    </w:p>
    <w:p>
      <w:r>
        <w:t>Le Tribunal fédéral examine d'office la recevabilité des recours qui lui sont soumis ( ATF 134 III 235 consid. 1 p. 236).</w:t>
      </w:r>
    </w:p>
    <w:p>
      <w:r>
        <w:rPr>
          <w:b/>
        </w:rPr>
        <w:t>E. 2.1</w:t>
      </w:r>
    </w:p>
    <w:p>
      <w:r>
        <w:t>Les conclusions présentées consistent dans un renvoi à celles présentées devant le Tribunal cantonal. Compte tenu que ces conclusions-ci sont clairement énoncées dans la décision attaquée, ce procédé est compatible avec l' art. 42 al. 1 LTF relatif à l'obligation d'indiquer, dans le mémoire de recours, les conclusions prises devant le Tribunal fédéral et les motifs du recours (cf. ATF 98 II 221 consid. 1 p. 223).</w:t>
      </w:r>
    </w:p>
    <w:p>
      <w:r>
        <w:rPr>
          <w:b/>
        </w:rPr>
        <w:t>E. 2.2</w:t>
      </w:r>
    </w:p>
    <w:p>
      <w:r>
        <w:t>Dans les affaires pécuniaires qui ne concernent ni le droit du travail ni le droit du bail à loyer, le recours en matière civile est recevable à condition que la valeur litigieuse s'élève à 30'000 fr. au moins ( art. 74 al. 1 let. b LTF ). Cette valeur est déterminée d'après les conclusions restées litigieuses devant l'autorité précédente ( art. 51 al. 1 let. a LTF ). Pour le calcul de la valeur litigieuse, le montant de la demande reconventionnelle et celui de la demande principale ne sont pas additionnés ( art. 53 al. 1 LTF ), de sorte que la recevabilité du recours en matière civile est en principe déterminée séparément pour chacune de ces demandes. La contestation concernant les frais d'extraction et d'évacuation de roche, qui est l'objet de la deuxième demande de révision, n'atteint pas la valeur minimale; le recours en matière civile est donc irrecevable. Le Tribunal fédéral peut toutefois convertir ce recours en un recours constitutionnel, pour autant que les conditions de recevabilité de ce moyen de droit soient satisfaites ( ATF 134 III 379 consid. 1.2 p. 382, concernant une conversion inverse).</w:t>
      </w:r>
    </w:p>
    <w:p>
      <w:r>
        <w:rPr>
          <w:b/>
        </w:rPr>
        <w:t>E. 2.3</w:t>
      </w:r>
    </w:p>
    <w:p>
      <w:r>
        <w:t>Le recours est dirigé contre un jugement final et de dernière instance cantonale ( art. 75 al. 1, 90 et 117 LTF ). Le demandeur a pris part à l'instance précédente et il a succombé dans des conclusions ayant pour objet son patrimoine personnel ( art. 115 LTF ). Déposé en temps utile ( art. 100 al. 1 et 117 LTF ) et dans les formes requises (art. 42 al. 1 à 3 LTF), le recours constitutionnel est en principe recevable. Celui-ci ne peut être exercé que pour violation des droits constitutionnels ( art. 116 LTF ); le Tribunal fédéral ne se saisit que des griefs soulevés et motivés de façon détaillée par la partie recourante ( art. 106 al. 2 et 117 LTF ; ATF 134 I 83 consid. 3.2 p. 88; 133 III 439 consid. 3.2 p. 444).</w:t>
      </w:r>
    </w:p>
    <w:p>
      <w:r>
        <w:rPr>
          <w:b/>
        </w:rPr>
        <w:t>E. 3</w:t>
      </w:r>
    </w:p>
    <w:p>
      <w:r>
        <w:t>Aux termes de l' art. 29 al. 1 Cst , toute personne a droit, dans une procédure judiciaire ou administrative, à ce que sa cause soit traitée équitablement et jugée dans un délai raisonnable. Cette garantie constitutionnelle confère au plaideur, parmi d'autres prétentions, le droit de demander la modification d'un jugement censément définitif, s'il fait valoir des faits ou moyens de preuve pertinents qui n'étaient pas connus de lui à l'époque de l'instance, ou qui, en raison de circonstances de fait ou de droit, ne semblaient pas pertinents ou ne pouvaient pas être invoqués alors ( ATF 127 I 133 consid. 6 p. 137; voir aussi ATF 130 IV 72 consid. 2.2 p. 74). Aux termes de l' art. 476 al. 1 ch. 2 CPC vaud., celui qui a été condamné par un jugement définitif, ou son ayant cause, obtient la révision s'il recouvre un titre qui aurait été important dans les débats, mais qu'il ignorait ou ne pouvait faire produire au dossier. La Chambre des révisions civiles et pénales interprète cette disposition cantonale en ce sens que la révision d'un jugement ne peut être demandée qu'au moyen d'un titre existant au moment dudit jugement, à l'exclusion d'un titre créé après. En l'occurrence, selon sa décision, le constat de la justice de paix, produit avec la deuxième demande de révision, est postérieur au jugement et à l'arrêt visés par cette demande; il est donc inapte à fonder un motif de révision. A l'appui du recours au Tribunal fédéral, le demandeur se réfère à l' art. 29 al. 1 Cst. ; il affirme que l'autorité saisie d'une demande de révision est tenue d'entrer en matière, en vertu de la Constitution fédérale, aussi si le titre produit est postérieur au jugement attaqué. Son argumentation est toutefois inconsistante; elle se limite, en substance, à cette simple affirmation. Certes, pour déterminer la portée de la garantie constitutionnelle fédérale dans ce domaine, le demandeur propose de se référer à l' art. 123 al. 2 let. a LTF , mais cette disposition-ci ne lui est d'aucun secours car elle précise textuellement que les faits ou moyens de preuves postérieurs à l'arrêt attaqué ne sont pas admis. Le droit de demander la révision d'un jugement, tel que garanti par la Constitution fédérale, ne permet pas au plaideur d'exiger la restitution du droit de présenter des offres de preuves au motif que, précédemment, il a omis d'exercer ce même droit. Dans la présente affaire, on ne discerne pas ce qui a éventuellement empêché le demandeur de requérir, devant le Tribunal civil, une expertise supplémentaire qui eût comporté une fouille dans le sol de la cave. Le demandeur n'a d'ailleurs allégué aucun empêchement de ce genre. Le moyen tiré de l' art. 29 al. 1 Cst. se révèle donc mal fondé.</w:t>
      </w:r>
    </w:p>
    <w:p>
      <w:r>
        <w:rPr>
          <w:b/>
        </w:rPr>
        <w:t>E. 4</w:t>
      </w:r>
    </w:p>
    <w:p>
      <w:r>
        <w:t>Le demandeur se plaint aussi d'arbitraire mais cette protestation, faute de tout développement, semble se confondre avec ce moyen-là. Pour le surplus, en tant qu'elle se rattache à l' art. 9 Cst. , elle est inapte à mettre en évidence un vice grave et indiscutable dans la décision attaquée; elle est donc irrecevable au regard des art. 106 al. 2 et 117 LTF ( ATF 133 II 249 consid. 1.4.3 p. 254; 133 II 396 consid. 3.2 p. 400).</w:t>
      </w:r>
    </w:p>
    <w:p>
      <w:r>
        <w:rPr>
          <w:b/>
        </w:rPr>
        <w:t>E. 5</w:t>
      </w:r>
    </w:p>
    <w:p>
      <w:r>
        <w:t>A titre de partie qui succombe, le demandeur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