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4A_356/2007 vom 13. Dezember 2007</w:t>
      </w:r>
    </w:p>
    <w:p>
      <w:r>
        <w:t>Bundesgericht, 2007-12-13, FR</w:t>
      </w:r>
    </w:p>
    <w:p>
      <w:r>
        <w:rPr>
          <w:b/>
        </w:rPr>
        <w:t xml:space="preserve">Quelle: </w:t>
      </w:r>
      <w:r>
        <w:t>https://mcp.opencaselaw.ch/entscheid/bger_4A_356_2007</w:t>
      </w:r>
    </w:p>
    <w:p>
      <w:r>
        <w:t>FR: TF 4A_356/2007 du 13 décembre 2007</w:t>
      </w:r>
    </w:p>
    <w:p>
      <w:r>
        <w:t>IT: TF 4A_356/2007 del 13 dicembre 2007</w:t>
      </w:r>
    </w:p>
    <w:p>
      <w:pPr>
        <w:pStyle w:val="Heading2"/>
      </w:pPr>
      <w:r>
        <w:t>Erwägungen</w:t>
      </w:r>
    </w:p>
    <w:p>
      <w:r>
        <w:rPr>
          <w:b/>
        </w:rPr>
        <w:t>E. 1</w:t>
      </w:r>
    </w:p>
    <w:p>
      <w:r>
        <w:t>Au regard de l' art. 92 al. 1 LTF , l'arrêt de la Chambre des recours est une décision incidente concernant la compétence du Tribunal des baux (arrêt 4A_237/2007 du 28 septembre 2007, consid. 2.1, destiné à la publication); il est susceptible de recours selon cette disposition.</w:t>
      </w:r>
    </w:p>
    <w:p>
      <w:r>
        <w:t>Pour le surplus, le recours est dirigé contre un jugement rendu en matière civile ( art. 72 al. 1 LTF ) et en dernière instance cantonale ( art. 75 al. 1 LTF ). La valeur litigieuse excède le minimum légal de 15'000 fr. prévu en matière de droit du bail à loyer ( art. 51 al. 1 let . c et 74 al. 1 let. a LTF). Il est formé par une partie qui a pris part à l'instance précédente et succombé dans ses conclusions ( art. 76 al. 1 LTF ). Déposé en temps utile ( art. 100 al. 1 LTF ) et dans les formes requises (art. 42 al. 1 à 3 LTF), le recours en matière civile est en principe recevable, de sorte que le recours constitutionnel, subsidiaire ( art. 113 LTF ), est exclu.</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il ne se prononce sur la violation de droits fondamentaux que si le grief est invoqué et motivé de façon détaillée ( art. 106 al. 2 LTF ; même arrêt, consid. 1.4.2). En règle générale, il conduit son raisonnement juridique sur la base des faits constatés dans la décision attaquée ( art. 105 al. 1 LTF ).</w:t>
      </w:r>
    </w:p>
    <w:p>
      <w:r>
        <w:t>Le recours n'est pas recevable pour violation du droit cantonal, hormis les droits constitutionnels cantonaux ( art. 95 let . c LTF) et certaines dispositions sans pertinence en matière civile ( art. 95 let . d LTF).</w:t>
      </w:r>
    </w:p>
    <w:p>
      <w:r>
        <w:rPr>
          <w:b/>
        </w:rPr>
        <w:t>E. 2</w:t>
      </w:r>
    </w:p>
    <w:p>
      <w:r>
        <w:t>X.________ reproche à la Chambre des recours d'avoir violé l' art. 274a CO en tant que cette disposition exige que toute contestation relative à un bail de chose immobilière, avant d'être portée devant le juge, soit soumise à une autorité paritaire de conciliation. Selon son exposé, l'essai de conciliation du 10 janvier 2006 ne s'est pas accompli entre lui et la demanderesse car celle-ci avait dirigé sa requête contre l'ancienne propriétaire A.________ SA; dans ces conditions, la gérante D.________ SA n'était pas habilitée à le représenter en justice.</w:t>
      </w:r>
    </w:p>
    <w:p>
      <w:r>
        <w:t>La procédure de conciliation devant un organe paritaire, constitué conformément à l' art. 274a al. 2 CO , est en effet imposée par le droit fédéral dans les contestations concernant des baux d'habitation ou de locaux commerciaux; ce droit interdit au juge d'entrer en matière si l'autorité de conciliation n'a pas préalablement statué sur le litige, lorsque la loi lui en attribue la compétence, ou, dans les autres cas, constaté l'échec de la conciliation (art. 274e al. 1 et 2, 274f al. 1 CO). En raison de sa composition spécifique et de sa spécialisation, l'autorité paritaire de conciliation est en mesure de conseiller les parties et de favoriser leur accord; elle est instituée dans l'intérêt de la procédure simple et rapide exigée par l' art. 274d al. 1 CO ( ATF 118 II 307 ; arrêt 4A_237/2007 du 28 septembre 2007, consid. 5.1, destiné à la publication).</w:t>
      </w:r>
    </w:p>
    <w:p>
      <w:r>
        <w:t>En l'occurrence, la demanderesse a d'abord dirigé sa requête contre A.________ SA. Dès l'audience de conciliation du 10 janvier 2006, sur la base des explications du directeur de D.________ SA, elle l'a dirigée contre X.________. D.________ SA était le mandataire chargé par ce dernier de gérer et administrer l'immeuble; c'est à ce titre que, par son directeur, elle se présentait devant la Commission. Au regard de cette situation, la Chambre des recours peut retenir sans violer le droit fédéral que la conciliation a été tentée, au cours de cette audience, entre la demanderesse et X.________, de sorte que le Tribunal des baux doit se saisir des prétentions qui étaient alors en discussion et que la demanderesse persiste à élever contre le même défendeur.</w:t>
      </w:r>
    </w:p>
    <w:p>
      <w:r>
        <w:t>A l'audience, la demanderesse a certes modifié sa requête en substituant ledit défendeur à A.________ SA, mais une mutation de ce genre, régie par le droit cantonal de procédure, ne met pas en cause l' art. 274a CO . Pour le surplus, X.________ ne prétend pas que si la requête avait été d'emblée dirigée contre lui, il se serait fait représenter par un mandataire autre que D.________ SA devant la Commission de conciliation; il ne prétend pas non plus qu'il aurait donné à son représentant des instructions tendant à une issue amiable du litige. Il persiste d'ailleurs à s'opposer aux prétentions de la demanderesse. Il ne peut donc pas, de bonne foi, se refuser à ratifier la position que la gérante a adoptée en son nom devant la Commission. Ainsi, le moyen tiré d'un pouvoir de représentation manquant n'est pas non plus concluant.</w:t>
      </w:r>
    </w:p>
    <w:p>
      <w:r>
        <w:rPr>
          <w:b/>
        </w:rPr>
        <w:t>E. 3</w:t>
      </w:r>
    </w:p>
    <w:p>
      <w:r>
        <w:t>X.________ fait valoir que la citation à l'audience de conciliation, adressée à D.________ SA, n'indiquait pas la partie contre qui la requête était dirigée. A ce sujet, il se plaint de violation de l'art. 9 de la loi vaudoise du 12 mai 1982 fixant la procédure dans les contestations relatives aux baux à loyer immobiliers et aux baux à ferme non agricoles, d'après lequel la Commission de conciliation doit adresser une convocation aux parties. Or, cette disposition cantonale n'est pas au nombre des règles que l'on peut invoquer selon l' art. 95 LTF ; le grief est donc irrecevable.</w:t>
      </w:r>
    </w:p>
    <w:p>
      <w:r>
        <w:rPr>
          <w:b/>
        </w:rPr>
        <w:t>E. 4</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