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4A_355/2023 vom 26. Januar 2024</w:t>
      </w:r>
    </w:p>
    <w:p>
      <w:r>
        <w:t>Bundesgericht, 2024-01-26, DE</w:t>
      </w:r>
    </w:p>
    <w:p>
      <w:r>
        <w:rPr>
          <w:b/>
        </w:rPr>
        <w:t xml:space="preserve">Quelle: </w:t>
      </w:r>
      <w:r>
        <w:t>https://mcp.opencaselaw.ch/entscheid/bger_4A_355_2023</w:t>
      </w:r>
    </w:p>
    <w:p>
      <w:r>
        <w:t>FR: TF 4A_355/2023 du 26 janvier 2024</w:t>
      </w:r>
    </w:p>
    <w:p>
      <w:r>
        <w:t>IT: TF 4A_355/2023 del 26 gennaio 2024</w:t>
      </w:r>
    </w:p>
    <w:p>
      <w:pPr>
        <w:pStyle w:val="Heading2"/>
      </w:pPr>
      <w:r>
        <w:t>Erwägungen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1.3</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1.4</w:t>
      </w:r>
    </w:p>
    <w:p>
      <w:r>
        <w:t>Den obigen Anforderungen genügt die anwaltlich vertretene Beschwerdeführerin über weite Strecken nicht. So fehlt es namentlich betreffend ihren Rügen zum Eventualstandpunkt an einer eigentlichen Auseinanderungsetzung mit den vorinstanzlichen Erwägungen.</w:t>
      </w:r>
    </w:p>
    <w:p>
      <w:r>
        <w:rPr>
          <w:b/>
        </w:rPr>
        <w:t>E. 2</w:t>
      </w:r>
    </w:p>
    <w:p>
      <w:r>
        <w:t>Umstritten ist, ob die Beschwerdeführerin über einen Anspruch auf Rückerstattung der Kosten für die durch die E.________ durchgeführte Sanierung der Kabelschutzrohre verfügt.</w:t>
      </w:r>
    </w:p>
    <w:p>
      <w:r>
        <w:rPr>
          <w:b/>
        </w:rPr>
        <w:t>E. 2.1</w:t>
      </w:r>
    </w:p>
    <w:p>
      <w:r>
        <w:t>Die Vorinstanz erwog, G.________ von der Beschwerdeführerin und H.________ von der Beschwerdegegnerin hätten unbestritten miteinander telefoniert. Bestritten werde jedoch der von der Beschwerdeführerin behauptete Gesprächsinhalt. Diese mache geltend, G.________ habe vorgeschlagen, zuerst den Grund für den Wassereintritt zu ermitteln, für H.________ sei jedoch die Sanierung prioritär gewesen und er habe G.________ aufgefordert, sich darum zu kümmern, worauf dieser die E.________ empfohlen und sich auf Wunsch der Beschwerdegegnerin bereit erklärt habe, den Einsatz der E.________ zu organisieren. Die Beschwerdeführerin offeriere bezüglich des Gesprächsinhalts einzig eine E-Mail vom 20. August 2018 (act. 3/3) als Beweismitel und erkläre weiter, das Verständnis, dass sie keine Werkleistung, sondern bloss eine organisatorische Aufgabe übernommen habe, ergebe sich auch aus ihrer E-Mail an die Beschwerdegegnerin vom 14. Januar 2019. Der behauptete Gesprächsinhalt lasse sich aber den beiden E-Mails nicht entnehmen, womit nicht nachgewiesen sei, dass die Beschwerdegegnerin die Beschwerdeführerin damit beauftragt habe, die Sanierung der Kabelschutzrohre zu organisieren. Da die Beschwerdeführerin nicht darlege, weshalb ausnahmsweise gestützt auf ein Schweigen auf eine Vereinbarung geschlossen werden müsste, habe die fehlende Reaktion der Beschwerdegegnerin auf die E-Mail vom 14. Januar 2019 keine weitere Bewandtnis.</w:t>
      </w:r>
    </w:p>
    <w:p>
      <w:r>
        <w:t>Bestritten sei weiter, dass H.________ anlässlich des Telefonats gesagt haben soll, man werde nachher, wenn der Grund für den Wassereintritt feststehe, auch eine Lösung finden. Die Beschwerdeführerin behaupte keinen dahingehenden tatsächlichen Konsens, dass die Beschwerdegegnerin sie für die Kosten der Sanierung schadlos halte, wenn das einzuholende Gutachten sie entlaste. Sie mache jedoch geltend, sie habe die bestrittene Aussage von H.________ nach Treu und Glauben so verstehen dürfen. Selbst wenn H.________ die Aussage (wie von der Beschwerdeführerin behauptet) getätigt haben sollte, hätte die Beschwerdeführerin die Aussage nicht dergestalt verstehen dürfen, dass die Beschwerdegegnerin ihr damit offeriert habe, sie im Falle einer Entlastung durch das einzuholende Gutachten schadlos zu halten. Eine verbindliche Offerte für eine Regelung der Kostentragung könne der vage gehaltenen Äusserung nicht entnommen werden. Erst recht nicht ergebe sich daraus, dass eine Schadloshaltung vereinbart worden wäre. Eine solche könne ebenso wenig den von der Beschwerdeführerin zitierten Auszügen aus den E-Mails vom 8. August 2018, 5. Dezember 2018 und 14. Januar 2019 entnommen werden.</w:t>
      </w:r>
    </w:p>
    <w:p>
      <w:r>
        <w:rPr>
          <w:b/>
        </w:rPr>
        <w:t>E. 2.2</w:t>
      </w:r>
    </w:p>
    <w:p>
      <w:r>
        <w:t>Die Beschwerdeführerin stellt sich (wie im vorinstanzlichen Verfahren) auf den Standpunkt, sie habe die Sanierung im Auftrag der Beschwerdegegnerin ausgeführt, aber zur Bedingung gemacht, dass die Schadensursache zu ermitteln sei und die Kosten gestützt auf diese Ermittlung zu verlegen seien. Sie habe diese Bedingung insbesondere in der E-Mail vom 8. August 2018 gestellt (act. 25/18). Sie habe in Rz. 41 ihrer Replik auf die entsprechende E-Mail verwiesen. Die Vorinstanz verletze Bundesrecht und stelle den Sachverhalt unvollständig fest, wenn sie diese als unbeachtlich erachte.</w:t>
      </w:r>
    </w:p>
    <w:p>
      <w:r>
        <w:rPr>
          <w:b/>
        </w:rPr>
        <w:t>E. 2.2.1</w:t>
      </w:r>
    </w:p>
    <w:p>
      <w:r>
        <w:t>Die Rüge der Beschwerdeführerin bezieht sich auf die Erwägungen der Vorinstanz unter dem Titel "Eingaben vor der Vergleichsverhandlung". Die Vorinstanz erwog dort, die von der Beschwerdeführerin eingereichte Stellungnahme vom 4. Juni 2021 (act. 24) sowie die Eingabe der Beschwerdegegnerin vom 14. Juni 2021 (act. 27) seien zu den Akten genommen und zwecks Wahrung des rechtlichen Gehörs den jeweiligen Gegenparteien zugestellt worden. Die Eingaben seien jedoch ausserhalb der gesetzlich vorgesehen Verfahrensschritte erfolgt, weshalb sie (sowie die eingereichten Beilagen act. 25/17+18 und act. 28/14-16) für den vorliegenden Entscheid unbeachtlich seien.</w:t>
      </w:r>
    </w:p>
    <w:p>
      <w:r>
        <w:t>Die Beschwerdeführerin leitet daraus offenbar ab, die Vorinstanz habe auch ihre Ausführungen in der Replik (dort Rz. 41) als unbeachtlich erachtet, in der sie mit Verweis auf die besagte E-Mail (act. 25/18) ausgeführt habe, sie und die Beschwerdegegnerin hätten mündlich abgemacht, dass sich die Kostentragung nach dem Gutachten Dr. F.________ richte.</w:t>
      </w:r>
    </w:p>
    <w:p>
      <w:r>
        <w:t>Diese Annahme der Beschwerdeführerin steht den vorinstanzlichen Feststellungen aber entgegen. So hielt die Vorinstanz fest, zur angeblichen mündlichen Abmachung, dass sich die Kostentragung nach dem Gutachten Dr. F.________ richte, führe die Beschwerdeführerin weiter an, sie habe dies in der Korrespondenz - E-Mail vom 8. August 2018 (!), 5. Dezember 2018 und 14. Januar 2019 - festgehalten und die Beschwerdegegnerin habe nicht widersprochen. Sodann erwog sie, aus den von der Beschwerdeführerin zitierten Auszügen aus unter anderem der E-Mail vom 8. August 2018 könne nicht entnommen werden, dass die Beschwerdegegnerin die Beschwerdeführerin schadlos zu halten habe, wenn diese durch das einzuholende Gutachten entlastet werde. Entsprechend könne aus dem fehlenden Widerspruch bzw. Schweigen der Beschwerdegegnerin auf die besagten E-Mails nichts abgeleitet werden. Diese Erwägungen der Vorinstanz zeigen, dass sie die Behauptungen der Beschwerdeführerin zur E-Mail vom 8. August 2018 in deren Replik offenkundig beachtet hat. Die drei Rügen der Beschwerdeführerin im Zusammenhang mit der angeblich vereinbarten Bedingung und der E-Mail vom 8. August 2018 zielen somit von vornherein ins Leere. Dass die Vorinstanz die E-Mail (act. 25/18), welche die Beschwerdeführerin in ihrer Replik nicht erneut eingereicht hat, an und für sich aus dem Recht gewiesen hat, weil diese ausserhalb der gesetzlich vorgesehenen Verfahrensschritte erfolgte, ist im Übrigen nicht zu beanstanden. Der bereits im vorinstanzlichen Verfahren anwaltlich vertretenen Beschwerdeführerin wäre es jedenfalls ohne Weiteres freigestanden, die besagte E-Mail in ihrer Replik erneut einzureichen.</w:t>
      </w:r>
    </w:p>
    <w:p>
      <w:r>
        <w:rPr>
          <w:b/>
        </w:rPr>
        <w:t>E. 2.2.2</w:t>
      </w:r>
    </w:p>
    <w:p>
      <w:r>
        <w:t>Es ist in einem nächsten Schritt zu prüfen, ob die Vorinstanz ohne Verletzung von Bundesrecht davon ausgehen durfte, die Beschwerdegegnerin habe nach Treu und Glauben nicht davon ausgehen müssen, sie habe die Beschwerdeführerin schadlos zu halten, wenn das einzuholende Gutachten diese entlaste. Die Beschwerdeführerin bezieht sich in ihrer Beschwerde (wie bereits in ihrer Replik im vorinstanzlichen Verfahren) im Wesentlichen auf folgende Aussage aus der E-Mail vom 8. August 2018: "Wenn die genaue Fehlerursache nicht eruiert ist und nicht zugeordnet werden kann, lehnen wir [Beschwerdeführerin] jede Bezahlung von Kosten und von Folgekosten ab". Sie zeigt aber nicht auf und es ist nicht ersichtlich, inwiefern die Vorinstanz aus dieser vagen Aussage zwingend hätte schliessen müssen, die Parteien hätten (neben dem Werkvertrag) erstens einen Sanierungsauftrag vereinbart und zweitens die Abmachung getroffen, dass die Kosten gestützt auf die Ermittlung der Schadensursache zu verlegen seien. Eine Verletzung von Bundesrecht ist nicht dargetan.</w:t>
      </w:r>
    </w:p>
    <w:p>
      <w:r>
        <w:rPr>
          <w:b/>
        </w:rPr>
        <w:t>E. 2.3</w:t>
      </w:r>
    </w:p>
    <w:p>
      <w:r>
        <w:t>Eventualiter macht die Beschwerdeführerin geltend, die Vorinstanz verkenne, dass die Übertragung eines Geschäfts - mangels eines anderen Rechtsgrunds - als Auftrag qualifiziert werden müsse. Der Auftraggeber trage in einem solchen Fall die Auslagen, die der Beauftragte zum Nutzen des Auftraggebers in richtiger Ausführung des Auftrags gemacht habe ( Art. 402 Abs. 1 OR ). Auch die vorinstanzliche Auffassung, die Beschwerdeführerin müsse die mängelfreie Ablieferung des Werks beweisen, um den Ersatz ihrer Kosten durchzusetzen, überzeuge nicht.</w:t>
      </w:r>
    </w:p>
    <w:p>
      <w:r>
        <w:t>Die Rüge geht fehl. Die Beschwerdeführerin setzt sich bereits nicht hinreichend mit den entsprechenden vorinstanzlichen Erwägungen auseinander (vgl. hiervor E. 1). Sie vermag jedenfalls nicht darzutun, inwiefern es Bundesrecht verletzen sollte, wenn die Vorinstanz bereits die Vereinbarung eines Auftrags betreffend die Organisation der Sanierung der Kabelschutzrohre nicht als erwiesen erachtet hat. Vor dem Hintergrund des Bestehens eines Werkvertrags ist der Beschwerdeführerin auch nicht zu folgen, wenn sie pauschal geltend macht, die Beschwerdegegnerin hätte für die (angebliche) Übertragung des Geschäfts einen anderen Rechtsgrund behaupten und beweisen müssen. Sie übergeht damit namentlich, dass die Vorinstanz bereits den von ihr behaupteten Inhalt des Telefongesprächs zwischen G.________ und H.________ nicht als nachgewiesen erachtet hat. Soweit die Beschwerdeführerin pauschal geltend macht, die Beschwerdegegnerin hätte einen Werkmangel nachweisen müssen, fehlt es erneut bereits an einer hinreichenden Auseinandersetzung mit den vorinstanzlichen Erwägungen betreffend einen allfälligen werkvertraglichen Regressanspruch der Beschwerdeführerin. Es kann auf die zutreffenden Erwägungen unter Ziffer 3 ("Anspruch aus Werkvertrag") des vorinstanzlichen Entscheids verwiesen werden.</w:t>
      </w:r>
    </w:p>
    <w:p>
      <w:r>
        <w:rPr>
          <w:b/>
        </w:rPr>
        <w:t>E. 3</w:t>
      </w:r>
    </w:p>
    <w:p>
      <w:r>
        <w:t>Nach dem Gesagten ist die Beschwerde abzuweisen, soweit darauf einzutreten ist. Bei diesem Ergebnis wird die Beschwerdeführerin kosten- und entschädigungspflichtig (Art. 66 Abs. 1 und Art. 68 Abs. 1 und 2 BGG ). Der Nebenintervenientin ist keine Parteientschädigung zuzusprechen, zumal ihr im bundesgerichtlichen Verfahren kein wesentlicher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