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4A_354/2020 vom 5. Juli 2021</w:t>
      </w:r>
    </w:p>
    <w:p>
      <w:r>
        <w:t>Bundesgericht, 2021-07-05, FR</w:t>
      </w:r>
    </w:p>
    <w:p>
      <w:r>
        <w:rPr>
          <w:b/>
        </w:rPr>
        <w:t xml:space="preserve">Quelle: </w:t>
      </w:r>
      <w:r>
        <w:t>https://mcp.opencaselaw.ch/entscheid/bger_4A_354_2020</w:t>
      </w:r>
    </w:p>
    <w:p>
      <w:r>
        <w:t>FR: TF 4A_354/2020 du 5 juillet 2021</w:t>
      </w:r>
    </w:p>
    <w:p>
      <w:r>
        <w:t>IT: TF 4A_354/2020 del 5 luglio 2021</w:t>
      </w:r>
    </w:p>
    <w:p>
      <w:pPr>
        <w:pStyle w:val="Heading2"/>
      </w:pPr>
      <w:r>
        <w:t>Erwägungen</w:t>
      </w:r>
    </w:p>
    <w:p>
      <w:r>
        <w:rPr>
          <w:b/>
        </w:rPr>
        <w:t>E. 1</w:t>
      </w:r>
    </w:p>
    <w:p>
      <w:r>
        <w:t>En tant que l'intimée conclut à l'irrecevabilité du recours parce que le recourant ne conclut pas à la confirmation du jugement de première instance, elle méconnaît que le recours en matière civile est une voie de réforme, ce qui signifie que si le Tribunal fédéral admet le recours, il réforme l'arrêt attaqué en statuant à nouveau lui-même sur le fond ( art. 107 al. 2 LTF ). Autrement dit, il annule l'arrêt attaqué et, dès lors qu'il est saisi de l'action elle-même, statue sur les conclusions de la demande, dans les limites qui lui sont imposées par l'articulation des voies de recours et les motifs du recours dont il est saisi.</w:t>
      </w:r>
    </w:p>
    <w:p>
      <w:r>
        <w:t>Interjeté en temps utile ( art. 100 al. 2 LTF ), par la partie demanderesse qui a succombé dans ses conclusions en paiement ( art. 76 al. 1 let. b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et les arrêts cités).</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Lorsque la banque et le client sont liés par un contrat de simple compte/dépôt bancaire (blosse Konto-/Depot-Beziehung; execution only), la banque s'engage uniquement à exécuter les instructions ponctuelles d'investissement du client (sur cette relation en général, cf. arrêt 4A_54/2017 du 29 janvier 2018 consid. 5.1.4 et 5.2 et les arrêts cités). La banque ne peut donc effectuer une opération d'achat ou de vente déterminée sur le compte de son client que sur instructions ou avec l'accord de celui-ci, selon les règles du contrat de commission ( art. 425 ss CO ; arrêt 4A_599/2019 du 1er mars 2021 consid. 4; 4A_369/2015 du 25 avril 2016 consid. 2.4).</w:t>
      </w:r>
    </w:p>
    <w:p>
      <w:r>
        <w:t>Si la banque met fin à une telle relation bancaire (execution only) et procède à la vente des titres du client sans y être autorisée par ses C onditions générales, intégrées au contrat, elle répond du dommage qui en résulte pour le client selon les règles du mandat ( art. 398 CO ) (arrêt 4A_548/2013 du 31 mars 2014 consid. 4.1, in SJ 2014 I 432). Lorsque la banque vend les titres du client, certes sans instructions ou accord de celui-ci, mais en agissant conformément aux intérêts et aux intentions présumables du client ( art. 419 al. 1 CO ); elle répond du dommage subi par le client selon les règles de la gestion d'affaires sans mandat (art. 420CO).</w:t>
      </w:r>
    </w:p>
    <w:p>
      <w:r>
        <w:rPr>
          <w:b/>
        </w:rPr>
        <w:t>E. 3.2</w:t>
      </w:r>
    </w:p>
    <w:p>
      <w:r>
        <w:t>Lorsque sa responsabilité est soumise aux règles du mandat ( art. 398 CO ), la banque mandataire répond du dommage qu'elle cause au client intentionnellement ou par négligence conformément à l' art. 398 al. 1 CO , qui renvoie à l' art. 321e al. 1 CO . Sa responsabilité est donc subordonnée aux quatre conditions suivantes, conformément au régime général de l' art. 97 CO (arrêts 4A_175/2018 du 19 novembre 2018 consid. 4.1;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w:t>
      </w:r>
    </w:p>
    <w:p>
      <w:r>
        <w:t>Que la banque ait commis une faute légère, laquelle est suffisante au regard de l' art. 398 al. 2 CO ( art. 99 al. 1 CO ), ou une faute grave (qui est exigée lorsque, en cas de défauts de légitimation ou de faux non décelés, les parties sont convenues d'une clause de transfert de risque; cf. ATF 146 III 326 consid. 6; arrêt 4A_161/2020 du 6 juillet 2020 consid. 5), le juge doit encore examiner la faute concomitante du client, comme facteur d'interruption du lien de causalité adéquate, voire de réduction de l'indemnité qui est due à celui-ci.</w:t>
      </w:r>
    </w:p>
    <w:p>
      <w:r>
        <w:rPr>
          <w:b/>
        </w:rPr>
        <w:t>E. 3.3</w:t>
      </w:r>
    </w:p>
    <w:p>
      <w:r>
        <w:t>Selon la jurisprudence, le juge doit en effet tenir compte du comportement du client dans la survenance ou dans l'aggravation du dommage, notamment en relation avec l'absence de contestation des communications que lui adresse la banque.</w:t>
      </w:r>
    </w:p>
    <w:p>
      <w:r>
        <w:rPr>
          <w:b/>
        </w:rPr>
        <w:t>E. 3.3.1</w:t>
      </w:r>
    </w:p>
    <w:p>
      <w:r>
        <w:t>Lorsque les conditions générales de la banque prévoient une clause de réclamation, le client doit s'opposer à toute opération dans un certain délai dès réception de l'avis d'exécution de l'ordre ou du relevé de compte ou de dépôt, faute de quoi l'opération ou le relevé est réputé accepté par lui (arrêts 4A_161/2020 précité 2020 consid. 5.2.1; 4A_119/2018 du 7 janvier 2019 consid. 6.1.2; 4A_471/2017 du 3 septembre 2018 consid. 4.2.2; 4A_386/2016 du 5 décembre 2016 consid. 3.2; 4A_42/2015 du 9 novembre 2015 consid. 5.2; 4A_488/2008 du 15 janvier 2009 consid. 5.1; 4A_262/2008 du 23 septembre 2008 consid. 2.2).</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4A_556/2019 du 29 septembre 2020 consid. 5.2; 4A_161/2020 précité consid. 5.2.1; 4A_119/2018 précité consid. 6.1.2; 4A_471/2017 précité consid. 4.2.2; cf. LUC THÉVENOZ, Les conditions générales des banques - réflexions sur un législateur innommé, in Mélanges en l'honneur de Pierre Tercier, Gauch/Werro/Pichonnaz [éd.], 2008, p. 460; WALTER FELLMANN, Berner Kommentar, 1992, no 169 s. ad art. 397 CO ).</w:t>
      </w:r>
    </w:p>
    <w:p>
      <w:r>
        <w:t>Ce n'est que si l'application stricte de la fiction de ratification conduit à des conséquences choquantes que le juge peut exclure celle-ci en se fondant sur les règles de l'abus de droit ( art. 2 al. 2 CC ; arrêts 4A_556/2019 précité consid. 5.2; 4A_119/2018 précité consid. 6.1.3; 4A_471/2017 précité consid. 4.2.3; 4A_386/2016 précité consid. 3.2.3; 4A_614/2016 du 3 juillet 2017 consid. 6.1; 4A_42/2015 précité consid. 5.2).</w:t>
      </w:r>
    </w:p>
    <w:p>
      <w:r>
        <w:rPr>
          <w:b/>
        </w:rPr>
        <w:t>E. 3.3.2</w:t>
      </w:r>
    </w:p>
    <w:p>
      <w:r>
        <w:t>L'obligation de contester en temps utile une opération bancaire peut aussi avoir pour seul fondement le principe de la bonne foi. En effet, celui qui reçoit - ou est réputé recevoir (en cas de remise en banque restante) - un avis relatif à l'exécution d'une opération est soumis à la règle générale découlant de la bonne foi ( art. 2 al. 1 CC ) et concrétisée à l' art. 6 CO , selon laquelle le silence vaut ratification de l'acte accompli si les circonstances exigent une réaction pour marquer son refus ou son désaccord (arrêts 4A_548/2013 précité consid. 3.6; 4C.378/2004 du 30 mai 2005 consid. 2.2, in SJ 2006 I 1; cf. aussi arrêts 4C.52/1995 du 17 octobre 1995 consid. 3c et C.357/1984 du 7 décembre 1984 consid. 2c, in SJ 1985 246).</w:t>
      </w:r>
    </w:p>
    <w:p>
      <w:r>
        <w:rPr>
          <w:b/>
        </w:rPr>
        <w:t>E. 3.3.3</w:t>
      </w:r>
    </w:p>
    <w:p>
      <w:r>
        <w:t>Ces mêmes règles de la bonne foi ( art. 2 al. 1 CC ) commandent non seulement au titulaire d'un compte de se manifester sans retard si une action de la banque n'est pas conforme à sa volonté, mais également et a fortiori s'il est informé à l'avance par la banque d'une opération pouvant potentiellement être préjudiciable à ses intérêts.</w:t>
      </w:r>
    </w:p>
    <w:p>
      <w:r>
        <w:rPr>
          <w:b/>
        </w:rPr>
        <w:t>E. 3.4</w:t>
      </w:r>
    </w:p>
    <w:p>
      <w:r>
        <w:t>Selon l'arrêt attaqué, il n'est pas contesté que la banque a vendu les actions appartenant à son client sans instructions de la part de celui-ci. Ce fait a été admis par les deux instances cantonales et n'est d'ailleurs pas remis en cause par l'intimée dans sa réponse au recours.</w:t>
      </w:r>
    </w:p>
    <w:p>
      <w:r>
        <w:t>Dans son courrier du 22 avril 2016, comme d'ailleurs dans celui du 8 mars 2016, la banque s'est toutefois prévalue de l'art. 23 § 2 et § 5 de ses Conditions générales (édition 2010) l'autorisant à résilier la relation contractuelle et, si nécessaire, à vendre les titres du client avant de lui remettre le montant de ses avoirs. Alors que le tribunal de première instance avait considéré que la banque défenderesse avait violé ses obligations contractuelles parce que les conditions de l'art. 23 § 5 CG n'étaient pas remplies, la cour cantonale a laissé ouverte la question, la solution du tribunal lui apparaissant critiquable.</w:t>
      </w:r>
    </w:p>
    <w:p>
      <w:r>
        <w:t>Selon la cour cantonale, la banque défenderesse a également invoqué que le client a commis une faute concomitante interrompant le lien de causalité entre la violation alléguée de ses obligations de mandataire et le prétendu dommage, puisqu'il n'avait pas réagi à réception, le 17 juin 2016, de son courrier du 22 avril 2016 et qu'il ne s'était pas opposé à la vente des actions qui a été effectuée 12 jours plus tard, soit le 30 juin 2016. Le tribunal a nié toute faute concomitante du client demandeur, parce que, même s'il avait réagi immédiatement, à réception du courrier litigieux le 17 juin 2016, il n'aurait pas été en mesure d'empêcher la vente des actions puisque la banque refusait tout transfert d'avoirs, sauf au Mexique, ce que le client ne souhaitait pas. La cour cantonale a considéré de son côté que le client n'avait pas respecté les règles de la bonne foi en n'ayant pas réagi à réception le 17 juin 2016 du courrier du 22 avril 2016 et en laissant la banque, en toute connaissance de cause, procéder à la vente des actions, qui a eu lieu le 30 juin 2016, pour la contester par la suite, de sorte qu'il était réputé avoir accepté la vente opérée et ne pouvait dès lors agir en dommages-intérêts en relation avec celle-ci.</w:t>
      </w:r>
    </w:p>
    <w:p>
      <w:r>
        <w:rPr>
          <w:b/>
        </w:rPr>
        <w:t>E. 3.5.1</w:t>
      </w:r>
    </w:p>
    <w:p>
      <w:r>
        <w:t>En l'espèce, contrairement à ce qu'a retenu la cour cantonale et à ce que soutient le recourant, il n'y a pas lieu d'appliquer les règles de la gestion d'affaires sans mandat, mais uniquement d'examiner si les conditions de l'art. 23 § 2 et § 5 CG (2010) sont remplies. Si ces conditions sont remplies, la banque n'a pas violé le contrat; si ces conditions ne sont pas réalisées, la banque est responsable du dommage subi par le client en vertu de l' art. 398 al. 2 CO (par renvoi de l' art. 425 al. 2 CO ).</w:t>
      </w:r>
    </w:p>
    <w:p>
      <w:r>
        <w:t>Il ne s'impose toutefois pas de traiter en premier lieu cette question, comme le requiert le recourant. En effet, lorsque deux conditions peuvent chacune entraîner le rejet de l'action, la cour cantonale est libre de choisir l'ordre dans lequel elle va les traiter, même si l'examen de la seconde présuppose l'admission, à titre hypothétique, de la première.</w:t>
      </w:r>
    </w:p>
    <w:p>
      <w:r>
        <w:rPr>
          <w:b/>
        </w:rPr>
        <w:t>E. 3.5.2</w:t>
      </w:r>
    </w:p>
    <w:p>
      <w:r>
        <w:t>La Cour de céans, aussi, traitera d'abord la question de la faute concomitante du client comme facteur interruptif du rapport de causalité adéquate entre la supposée violation par la banque de ses obligations contractuelles et le prétendu dommage.</w:t>
      </w:r>
    </w:p>
    <w:p>
      <w:r>
        <w:t>Conformément aux règles de la bonne foi, le client doit, comme la cour cantonale l'a admis, se manifester sans retard lorsqu'il est informé à l'avance par la banque d'une opération qu'il ne veut pas. Le recourant ne conteste d'ailleurs pas ce principe, invoquant, en se référant à LOMBARDINI, que le client doit se plaindre énergiquement et entreprendre toutes les mesures nécessaires pour réduire son préjudice.</w:t>
      </w:r>
    </w:p>
    <w:p>
      <w:r>
        <w:t>Il résulte des faits constatés que le client a reçu à son domicile le 17 juin 2016 le courrier de la banque du 22 avril 2016 l'informant de la clôture de la relation bancaire et de l'intention de celle-ci de procéder à la liquidation de ses titres. Il l'a reçu cinq jours avant la date initialement prévue par la banque pour liquider les titres si elle ne recevait pas d'instructions de sa part et même 12 jours avant que la banque ne vende effectivement ces titres. La cour cantonale a considéré que ce laps de temps lui était " suffisant pour réagir " et qu'" il n'a pas respecté les règles de la bonne foi, en laissant [la banque], en toute connaissance de cause, procéder à des opérations, soit la vente de ses actions xxx, pour les contester par la suite ".</w:t>
      </w:r>
    </w:p>
    <w:p>
      <w:r>
        <w:t>Dans un premier grief, le recourant reproche à la banque, en particulier, de ne pas lui avoir envoyé son courrier du 8 mars 2016 (resté en banque restante), de ne pas lui avoir téléphoné, de ne pas avoir entrepris de démarches autres que l'envoi du courrier du 22 avril 2016, d'avoir créé une situation à risque. Tous ces reproches sont sans pertinence dès lors qu'il a eu, à temps, connaissance de la résiliation de la relation bancaire et de l'intention de la banque de vendre ses titres. Le seul reproche en soi pertinent est la contestation de la tardiveté de sa réaction. Or, lorsqu'il soutient que le délai de cinq jours qui restait était bien trop court pour prendre des dispositions, il ne s'en prend pas à l'appréciation de la cour cantonale qui a estimé ce délai suffisant soit pour téléphoner à la banque, soit pour lui envoyer un fax ou un courriel, ce d'autant que 12 jours se sont même écoulés avant la vente effective de ses titres; le fait qu'il soit venu à la banque à Genève à la mi-juillet 2016 ne remplit pas la condition d'une réaction en temps utile, soit dans le délai fixé dans l'envoi et reçu encore à temps. On ne voit pas en quoi cette appréciation (juridique) de la cour cantonale serait contraire au droit fédéral.</w:t>
      </w:r>
    </w:p>
    <w:p>
      <w:r>
        <w:t>Dans un second grief, le recourant soutient que même s'il avait réagi dans le délai imparti, la banque aurait vendu ses titres, car elle n'aurait jamais accepté de surseoir à leur liquidation. En tant qu'il se plaint d'arbitraire quant à la " prétendue disposition de la Banque de surseoir à la vente des titres ", le recourant s'en prend de manière appellatoire à la motivation de la cour cantonale: celle-ci a été convaincue, d'une part, par l'interrogatoire du représentant de la banque, qui a déclaré en procédure que si le client avait répondu au courrier du 22 avril 2016, la banque aurait " conservé " les titres, comme cela avait été fait dans d'autres cas lorsque le client avait donné des instructions à temps, et, d'autre part, par les termes mêmes du courrier du 22 avril 2016. Or, il ne suffit pas pour démontrer l'arbitraire d'affirmer que la banque aurait refusé de surseoir puisqu'elle s'opposait à un transfert dans une autre banque suisse et d'affirmer, sans preuve, que si celle-ci l'a fait pour d'autres clients, c'est " qu'il s'agissait de clients dont les instructions étaient exécutables ". En tant qu'il semble déduire cette conclusion du blocage de ses avoirs par la banque pendant huit mois, le recourant perd de vue qu'il s'agit-là d'un fait postérieur à la date à laquelle il aurait dû prendre contact avec la banque - d'ici au 30 juin 2016 au plus tard -, ce qui lui aurait permis de demander à celle-ci de surseoir à la vente. Lorsqu'il affirme que l'" on voit mal comment la Banque aurait accepté de surseoir à la vente des titres, ce qui impliquait concrètement de ne pas résilier la relation bancaire ", le recourant méconnaît que, selon sa définition, l'arbitraire ne résulte pas du seul fait qu'une autre interprétation des faits serait soutenable, voire préférable. Dès lors qu'il n'est pas prouvé que la banque aurait refusé de surseoir à la vente, ne serait-ce que durant une période limitée, l'appréciation de la cour cantonale ne saurait être qualifiée d'insoutenable; le blocage postérieur ne l'infirme pas.</w:t>
      </w:r>
    </w:p>
    <w:p>
      <w:r>
        <w:t>Dans un troisième grief, le recourant soutient qu'aucun reproche de mauvaise foi ne peut être formulé à son encontre s'agissant du rachat des actions. Dans la mesure où la cour cantonale n'a fait que relever que le client n'a pas ordonné le rachat des titres vendus, ni exprimé le souhait d'y procéder lorsqu'il s'est rendu à la banque au mois de juillet 2016, ce motif - postérieur à l'absence de réaction de celui-ci dans le délai de deux mois - n'était pas décisif pour le sort de la prétention litigieuse. Le présent grief est ainsi superfétatoire et les griefs d'arbitraire quant à sa " prétendue absence de volonté [...] de racheter des titres " en juillet et quant à l'absence de proposition de la banque de racheter les titres pendant que ses avoirs étaient bloqués, sont sans pertinence.</w:t>
      </w:r>
    </w:p>
    <w:p>
      <w:r>
        <w:t>Enfin, quant au blocage des avoirs du client, la cour cantonale a constaté que le fait " que la banque ait par la suite - de manière certes contestable et sur la base de motifs erronés - refusé durant plusieurs mois de transférer les avoirs du client sur un autre compte bancaire suisse, n'est pas de nature à mettre en doute le fait que la banque aurait accepté de surseoir à la liquidation des titres. Le recourant ne s'en prend pas directement à cette motivation de la cour cantonale. Ce blocage étant en outre un événement postérieur à son absence de réaction en temps utile, il n'est pas décisif pour le sort de sa prétention.</w:t>
      </w:r>
    </w:p>
    <w:p>
      <w:r>
        <w:rPr>
          <w:b/>
        </w:rPr>
        <w:t>E. 4</w:t>
      </w:r>
    </w:p>
    <w:p>
      <w:r>
        <w:t>Dès lors que le grief formulé par le recourant en relation avec les frais judiciaires et les dépens pour les deux instances cantonales présuppose l'admission de son recours, il est sans objet.</w:t>
      </w:r>
    </w:p>
    <w:p>
      <w:r>
        <w:rPr>
          <w:b/>
        </w:rPr>
        <w:t>E. 5</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