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4A_353/2025 vom 2. September 2025</w:t>
      </w:r>
    </w:p>
    <w:p>
      <w:r>
        <w:t>Bundesgericht, 2025-09-02, DE</w:t>
      </w:r>
    </w:p>
    <w:p>
      <w:r>
        <w:rPr>
          <w:b/>
        </w:rPr>
        <w:t xml:space="preserve">Quelle: </w:t>
      </w:r>
      <w:r>
        <w:t>https://mcp.opencaselaw.ch/entscheid/bger_4A_353_2025</w:t>
      </w:r>
    </w:p>
    <w:p>
      <w:r>
        <w:t>FR: TF 4A_353/2025 du 2 septembre 2025</w:t>
      </w:r>
    </w:p>
    <w:p>
      <w:r>
        <w:t>IT: TF 4A_353/2025 del 2 settembre 2025</w:t>
      </w:r>
    </w:p>
    <w:p>
      <w:pPr>
        <w:pStyle w:val="Heading2"/>
      </w:pPr>
      <w:r>
        <w:t>Erwägungen</w:t>
      </w:r>
    </w:p>
    <w:p>
      <w:r>
        <w:rPr>
          <w:b/>
        </w:rPr>
        <w:t>E. 1</w:t>
      </w:r>
    </w:p>
    <w:p>
      <w:r>
        <w:t>Mit Verfügung vom 16. November 2023 entzog die Einzelrichterin des Bezirksgerichts Kreuzlingen der Beschwerdeführerin das Recht zur Vertretung der Verfahrensbeteiligten superprovisorisch und mit sofortiger Wirkung.</w:t>
      </w:r>
    </w:p>
    <w:p>
      <w:r>
        <w:t>Mit Entscheid vom 5. April 2024 bestätigte die Einzelrichterin die superprovisorisch angeordneten Massnahmen, regelte vorsorglich die Vertretungsbefugnis an der Verfahrensbeteiligten und setzte einstweilen ein Verwaltungsratsmitglied mit Einzelunterschrift ein. Ausserdem ordnete die Einzelrichterin an, dass die vorsorglichen Massnahmen ohne Weiteres dahinfallen, sollte beim zuständigen Gericht im Hauptsacheverfahren nicht rechtzeitig oder keine Klage eingereicht werden.</w:t>
      </w:r>
    </w:p>
    <w:p>
      <w:r>
        <w:t>Mit Entscheid vom 4. März 2025 wies das Obergericht des Kantons Thurgau eine von der Beschwerdeführerin gegen den Entscheid der Einzelrichterin vom 5. April 2024 erhobene Berufung ab, soweit es darauf eintrat.</w:t>
      </w:r>
    </w:p>
    <w:p>
      <w:r>
        <w:t>Mit Eingabe vom 15. Juli 2025 erklärte die Beschwerdeführerin dem Bundesgericht, den Entscheid des Obergerichts des Kantons Thurgau vom 4. März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an das Bundesgericht ist nur gegen Entscheide letzter kantonaler Instanzen zulässig ( Art. 75 Abs. 1 BGG ).</w:t>
      </w:r>
    </w:p>
    <w:p>
      <w:r>
        <w:t>Auf die Beschwerde kann daher von vornherein nicht eingetreten werden, soweit sie sich unmittelbar gegen die Verfügungen der Einzelrichterin des Bezirksgerichts Kreuzlingen vom 16. November 2023 und vom 5. April 2024 richtet, da es sich dabei nicht um letztinstanzliche Entscheide im Sinne von Art. 75 Abs. 1 BGG handelt.</w:t>
      </w:r>
    </w:p>
    <w:p>
      <w:r>
        <w:rPr>
          <w:b/>
        </w:rPr>
        <w:t>E. 2.2</w:t>
      </w:r>
    </w:p>
    <w:p>
      <w:r>
        <w:t>Entscheide über vorsorgliche Massnahmen gelten nur als Endentscheide,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w:t>
      </w:r>
    </w:p>
    <w:p>
      <w:r>
        <w:t>Die vorliegend strittigen vorsorglichen Massnahmen wurden im Hinblick auf ein Hauptverfahren erlassen. Es handelt sich daher beim angefochtenen Entscheid des Obergerichts des Kantons Thurgau vom 4. März 2025 um einen Zwischenentscheid im Sinne von Art. 93 BGG .</w:t>
      </w:r>
    </w:p>
    <w:p>
      <w:r>
        <w:rPr>
          <w:b/>
        </w:rPr>
        <w:t>E. 2.3</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2.4</w:t>
      </w:r>
    </w:p>
    <w:p>
      <w:r>
        <w:t>Die Beschwerdeführerin geht zu Unrecht davon aus, es handle sich beim angefochtenen Entscheid um einen Endentscheid im Sinne von Art. 90 BGG . Sie zeigt keinen Nachteil rechtlicher Natur im Sinne von Art. 93 Abs. 1 lit. a BGG auf, der auch durch einen für sie günstigen Entscheid in der Zukunft nicht mehr behoben werden könnte (die Ausnahme von Art. 93 Abs. 1 lit. b BGG fällt ausser Betracht). Die Eintretensvoraussetzungen sind daher offensichtlich nicht erfüllt.</w:t>
      </w:r>
    </w:p>
    <w:p>
      <w:r>
        <w:t>Auf die Beschwerde ist daher im vereinfachten Verfahren nach Art. 108 Abs. 1 lit. a BGG nicht einzutreten.</w:t>
      </w:r>
    </w:p>
    <w:p>
      <w:r>
        <w:rPr>
          <w:b/>
        </w:rPr>
        <w:t>E. 3</w:t>
      </w:r>
    </w:p>
    <w:p>
      <w:r>
        <w:t>Die Beschwerdeführerin wird bei diesem Verfahrensausgang kostenpflichtig ( Art. 66 Abs. 1 BGG ). Dem Beschwerdegegner und der Verfahrensbeteiligten stehen keine Parteientschädigungen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