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4A_353/2020 vom 19. Januar 2021</w:t>
      </w:r>
    </w:p>
    <w:p>
      <w:r>
        <w:t>Bundesgericht, 2021-01-19, DE</w:t>
      </w:r>
    </w:p>
    <w:p>
      <w:r>
        <w:rPr>
          <w:b/>
        </w:rPr>
        <w:t xml:space="preserve">Quelle: </w:t>
      </w:r>
      <w:r>
        <w:t>https://mcp.opencaselaw.ch/entscheid/bger_4A_353_2020</w:t>
      </w:r>
    </w:p>
    <w:p>
      <w:r>
        <w:t>FR: TF 4A_353/2020 du 19 janvier 2021</w:t>
      </w:r>
    </w:p>
    <w:p>
      <w:r>
        <w:t>IT: TF 4A_353/2020 del 19 gennaio 2021</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1.2.1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1.2.2</w:t>
      </w:r>
    </w:p>
    <w:p>
      <w:r>
        <w:t>Diese Grundsätze verkennt der Beschwerdeführer, wenn er in seiner Beschwerdeschrift an das Bundesgericht den Sachverhalt eingehend aus seiner Sicht schildert, ohne substanziierte Rügen vorzutragen. Die entsprechenden Ausführungen haben unbeachtet zu bleiben. Massgebend bleibt der von der Vorinstanz festgestellte Sachverhalt.</w:t>
      </w:r>
    </w:p>
    <w:p>
      <w:r>
        <w:rPr>
          <w:b/>
        </w:rPr>
        <w:t>E. 1.3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2</w:t>
      </w:r>
    </w:p>
    <w:p>
      <w:r>
        <w:t>Umstritten ist zunächst, ob dem Beschwerdeführer ein Anspruch auf Rückerstattung des an die Beschwerdegegnerin bezahlten Honorars für das sozialversicherungsrechtliche Verfahren in Höhe von Fr. 69'656.80 aufgrund einer oder mehrerer Sorgfaltspflichtverletzungen zusteht.</w:t>
      </w:r>
    </w:p>
    <w:p>
      <w:r>
        <w:rPr>
          <w:b/>
        </w:rPr>
        <w:t>E. 2.1</w:t>
      </w:r>
    </w:p>
    <w:p>
      <w:r>
        <w:t>Wird ein Auftrag nicht sorgfältig ausgeführt, kann dies zu einer Herabsetzung der Vergütung als vertraglicher Gegenleistung im Sinne von Art. 394 Abs. 3 OR führen. Wenn das Ergebnis des unsorgfältigen Beauftragten für den Auftraggeber vollständig unbrauchbar ist, schuldet er diesem gar keine Vergütung ( BGE 124 III 423 E. 4a S. 427; Urteile 4A_412/2019 vom 27. April 2020 E. 8.3.1; 4A_444/2019 vom 21. April 2020 E. 3; 4A_658/2015 vom 30. März 2016 E. 3.1; 4A_364/2013 vom 5. März 2014 E. 14.1; je mit Hinweisen). Die Beweislast für die (teilweise) Unbrauchbarkeit der unsorgfältig erbrachten Leistung des Beauftragten trägt der Auftraggeber (Derendinger Peter, Die Nicht- und die nichtrichtige Erfüllung des einfachen Auftrags, 2. Aufl. 1990, S. 209 Rz. 449; Walter Fellmann, Berner Kommentar, 1992, N. 543 zu Art. 394 OR ). Mithin impliziert das Vorliegen einer Sorgfaltspflichtverletzung nicht die teilweise oder vollständige Unbrauchbarkeit der Leistung. Der eine Herabsetzung des Honorars fordernde Auftraggeber hat folglich neben der Verletzung der Sorgfaltspflicht (DERENDINGER, a.a.O., S. 208 Rz. 448; FELLMANN, a.a.O., N. 541 zu Art. 394 OR ) auch die (teilweise oder vollständige) Unbrauchbarkeit nachzuweisen.</w:t>
      </w:r>
    </w:p>
    <w:p>
      <w:r>
        <w:rPr>
          <w:b/>
        </w:rPr>
        <w:t>E. 2.2</w:t>
      </w:r>
    </w:p>
    <w:p>
      <w:r>
        <w:t>Vor der Vorinstanz bereits nicht mehr umstritten war, dass die Beschwerdegegnerin durch das Einklagen der falschen Partei eine Sorgfaltspflichtverletzung begangen hatte. Abgesehen von dieser Pflichtverletzung machte der Beschwerdeführer weitere Pflichtverletzungen geltend, welche die Vorinstanz jedoch allesamt verneinte. Wenn der Beschwerdeführer vor Bundesgericht die entsprechenden vorinstanzlichen Erwägungen beanstandet, vermag er indes nicht aufzuzeigen, inwiefern die Bejahung einer oder mehrerer der von ihm vorgebrachten angeblichen Sorgfaltspflichtverletzungen etwas am Ergebnis der Vorinstanz zu ändern vermöchte. Insofern muss auf diese Rügen nicht eingegangen werden.</w:t>
      </w:r>
    </w:p>
    <w:p>
      <w:r>
        <w:rPr>
          <w:b/>
        </w:rPr>
        <w:t>E. 2.3</w:t>
      </w:r>
    </w:p>
    <w:p>
      <w:r>
        <w:t>Die Vorinstanz hielt fest, die Beschwerdegegnerin habe bei der Klageeinleitung die Passivlegitimation zu wenig genau geprüft, den Beschwerdeführer nicht darüber aufgeklärt und die falsche Partei eingeklagt, doch führe diese Pflichtverletzung weder zur kompletten noch zur teilweisen Rückerstattung des Honorars, da die von der Beschwerdegegnerin in Rechnung gestellten Aufwände nicht nutzlos gewesen seien. Es sei offensichtlich, dass die neuen Anwälte des Beschwerdeführers im Folgeprozess gegen die richtige Partei auf die Argumente im Erstprozess hätten zurückgreifen können. Sie seien dadurch bereits in der ersten Rechtsschrift in der Lage gewesen, Argumente und Gegenargumente aufzuführen, welche im Erstprozess erst aufgrund der Klageantwort provoziert worden seien. Bei der Ausarbeitung der Klage und der Replik im Erstprozess sei die Frage der Passivlegitimation noch kein Thema gewesen, weshalb dem Beschwerdeführer auch kein entsprechender Aufwand verrechnet worden sei.</w:t>
      </w:r>
    </w:p>
    <w:p>
      <w:r>
        <w:t>Was die weiteren Aufwendungen betreffe, welche angefallen seien, nachdem die D.E.________ AG den Einwand der fehlenden Passivlegitimation (erstmals) in der Duplik vorgebracht habe, seien diese ebenfalls geschuldet. Der Beschwerdeführer habe sich in Kenntnis der Kosten- und Prozessrisiken entschieden, das Verfahren trotz dieses Einwands fortzusetzen; überdies hätten die Ausführungen in der Triplik teilweise ebenfalls im Folgeprozess verwendet werden können.</w:t>
      </w:r>
    </w:p>
    <w:p>
      <w:r>
        <w:rPr>
          <w:b/>
        </w:rPr>
        <w:t>E. 2.4</w:t>
      </w:r>
    </w:p>
    <w:p>
      <w:r>
        <w:t>Der Beschwerdeführer erblickt in der Ablehnung der Herabsetzung des Honorars durch die Vorinstanz mehrere Bundesrechtsverletzungen.</w:t>
      </w:r>
    </w:p>
    <w:p>
      <w:r>
        <w:rPr>
          <w:b/>
        </w:rPr>
        <w:t>E. 2.4.1</w:t>
      </w:r>
    </w:p>
    <w:p>
      <w:r>
        <w:t>Zunächst rügt er, es stehe fest, dass er den Prozess gegen die D.E.________ AG deshalb verloren habe, weil die Beschwerdegegnerin die falsche Partei ins Recht gefasst habe. Es existierten daher überhaupt keine Leistungen, welche vertragskonform erbracht worden seien; die Arbeit sei insgesamt nutzlos gewesen. Beim Kriterium der Brauchbarkeit könne es nur um die Brauchbarkeit im Rahmen des der Beschwerdegegnerin konkret erteilten Auftrags gehen. Lasse sich das anvisierte Ziel aufgrund einer Sorgfaltspflichtverletzung in seiner Gänze nicht erreichen, schulde er dafür kein Honorar.</w:t>
      </w:r>
    </w:p>
    <w:p>
      <w:r>
        <w:t>Mit diesem Einwand vermag der Beschwerdeführer nicht durchzudringen: Indem er vorbringt, die Arbeit der Beschwerdegegnerin sei insgesamt nutzlos gewesen, stellt er bloss seine Auffassung jener der Vorinstanz gegenüber, ohne sich mit dieser auseinanderzusetzen, weshalb er den Rügeanforderungen nicht genügt (vgl. E. 1.1 hiervor). Der Verlust des Prozesses gegen die D.E.________ AG impliziert keineswegs die vollständige Unbrauchbarkeit der Leistungen der Beschwerdegegnerin. Wenn der Beschwerdeführer einwendet, beim Kriterium der Brauchbarkeit gehe es ausschliesslich um die Brauchbarkeit im Rahmen des dem unsorgfältig handelnden Anwalt konkret erteilten Auftrags, irrt er. Die Brauchbarkeit ist vielmehr mit Blick auf das konkrete Ziel (hier: das Erwirken der Taggeldzahlungen der Versicherung) zu beurteilen. Um dieses zu erreichen, waren die Arbeiten der Beschwerdegegnerin - wie von der Vorinstanz festgestellt - denn auch brauchbar.</w:t>
      </w:r>
    </w:p>
    <w:p>
      <w:r>
        <w:rPr>
          <w:b/>
        </w:rPr>
        <w:t>E. 2.4.2</w:t>
      </w:r>
    </w:p>
    <w:p>
      <w:r>
        <w:t>Der Beschwerdeführer moniert, ob die Arbeit der Beschwerdegegnerin für einen anderen Anwalt im Rahmen eines anderen Auftrags brauchbar gewesen sei, so dass er diesem weniger Honorar habe bezahlen müssen, beschlage den Einwand der Beschwerdegegnerin, er wäre bei Rückerstattung des vollen Honorars im Umfang des eingesparten Aufwands bereichert. Dass dies der Fall sei, habe die Beschwerdegegnerin substanziiert darzulegen und zu beweisen, was sie indes nicht getan habe. Es sei nicht an ihm, zu behaupten und zu beweisen, dass sich die Leistung der Beschwerdegegnerin später zu nichts haben verwenden lassen. Indem die Vorinstanz dies verkannt habe, habe sie Art. 394 OR und Art. 8 ZGB falsch angewandt.</w:t>
      </w:r>
    </w:p>
    <w:p>
      <w:r>
        <w:t>Mit dieser Argumentation übergeht der Beschwerdeführer die eingangs dargelegte Beweislastverteilung (vgl. E. 2.1 hiervor). Wäre die Vorinstanz nicht zu einem positiven Beweisergebnis gelangt (Brauchbarkeit der Arbeiten) - hätte mithin Beweislosigkeit geherrscht -, wäre es dem Beschwerdeführer oblegen, die vollständige oder teilweise Unbrauchbarkeit der Arbeiten nachzuweisen. Da er einen solchen Nachweis - wie von der Beschwerdegegnerin zutreffend eingewendet - nicht erbrachte, wäre das Begehren des Beschwerdeführers - selbst wenn die vorinstanzliche Feststellung der Brauchbarkeit, wie gerügt, unbewiesen wäre (dazu sogleich) - abzuweisen.</w:t>
      </w:r>
    </w:p>
    <w:p>
      <w:r>
        <w:rPr>
          <w:b/>
        </w:rPr>
        <w:t>E. 2.4.3</w:t>
      </w:r>
    </w:p>
    <w:p>
      <w:r>
        <w:t>Der Beschwerdeführer macht geltend, wenn die Vorinstanz festhalte, es sei offensichtlich, dass seine Anwälte im Zweitprozess auf die Argumente der Beschwerdegegnerin im Erstprozess hätten zurückgreifen können, handle es sich um eine Sachverhaltsfeststellung, welche weder durch konkrete Behauptungen der Beschwerdegegnerin noch durch Beweise gestützt werde. Es sei nicht ersichtlich, worauf sich diese angebliche Offensichtlichkeit stützen solle. So sei nämlich keineswegs offensichtlich, dass der Nachfolger bei einem Anwaltswechsel die Vorarbeit seines Nachfolgers ohne Weiteres übernehmen könne. Dies müsse vielmehr anhand der Rechtsschriften der Beschwerdegegnerin und jenen ihres Nachfolgers konkret dargelegt und belegt werden. Die Vorinstanz habe insofern auf eine unbewiesene Tatsache abgestellt und damit unter anderem Art. 8 ZGB verletzt. Dabei spiele auch die Qualität der Arbeit ein Rolle. Gerade wenn ein Prozess verloren gegangen sei, müsse der Nachfolger die Arbeit seines Vorgängers überprüfen und könne nicht unbesehen darauf aufbauen. Auch sonst werde er die Argumente nicht unverändert übernehmen, sondern diese in eigene Worte fassen und durch eigene Überlegungen ergänzen. Zudem müsse der neue Anwalt alle Akten lesen und sich in den Fall einarbeiten. Es sei notorisch, dass ein Anwaltswechsel den Klienten immer teuer zu stehen komme.</w:t>
      </w:r>
    </w:p>
    <w:p>
      <w:r>
        <w:t>Dem Beschwerdeführer ist dahingehend beizustimmen, dass die Vorinstanz ihren Schluss (Brauchbarkeit der Arbeiten der Beschwerdegegnerin) - soweit ersichtlich - ohne Verweis auf ein bereits abgenommenes Beweismittel traf noch hierzu ein prozesskonform angebotenes Beweismittel angenommen hätte, sie mithin von einer bekannten Tatsache im Sinne von Art. 151 ZPO ausging. Ob diese Qualifikation richtig war, kann vorliegend jedoch offenbleiben, da - sollte diese Frage verneint werden - Beweislosigkeit betreffend die Brauchbarkeit der Arbeiten der Beschwerdegegnerin herrschen würde, welche aufgrund der erwähnten Beweislastverteilung (vgl. E. 2.1 hiervor) den Beschwerdeführer träfe, der in Verkennung der Beweislastverteilung (E. 2.4.2 hiervor) sich zu keinem Zeitpunkt anschickte, die Unbrauchbarkeit der Arbeiten der Beschwerdegegnerin nachzuweisen. Inwiefern die Ausführungen des Beschwerdeführers zum angeblichen Mehraufwand bei einem Anwaltswechsel die Frage der Brauchbarkeit der Arbeiten der Beschwerdegegnerin tangieren würden, ist nicht ersichtlich.</w:t>
      </w:r>
    </w:p>
    <w:p>
      <w:r>
        <w:rPr>
          <w:b/>
        </w:rPr>
        <w:t>E. 2.4.4</w:t>
      </w:r>
    </w:p>
    <w:p>
      <w:r>
        <w:t>Betreffend die Verweigerung der Rückforderbarkeit jenes Teils des Honorars, der nach Erhebung der Einrede der Passivlegitimation in der Duplik anfiel, weist der Beschwerdeführer darauf hin, es könne nicht angehen, dass er für den Versuch, sich aus der von der Beschwerdegegnerin verschuldeten Lage zu befreien, nur deshalb ein Honorar bezahlen müsse, weil er das Risiko ab diesem Zeitpunkt gekannt habe. Ihm sei gar keine Wahl geblieben, als den Prozess fortzuführen. Denn hätte er entgegen dem Ratschlag der Beschwerdegegnerin gehandelt und die Klage nach der Duplik zurückgezogen, hätte er sich später dem Einwand ausgesetzt, nicht die Sorgfaltspflichtverletzung bei Einleitung der Klage, sondern deren Rückzug sei Grund für die entstehenden Kosten gewesen. Die Erstinstanz habe die Beschwerdegegnerin zur Leistung von Schadenersatz im Umfang der der D.E.________ AG im Erstprozess auszurichtenden Parteientschädigung von Fr. 7'391.-- sowie der nicht kostendeckenden Parteientschädigung von Fr. 2'268.--, welche er im bundesgerichtlichen Verfahren erhalten habe, verurteilt. Es könne nicht sein, dass es sich mit dem Honorar anders verhalte als mit dem Schadenersatz. Wenn die Erstinstanz ihn verpflichten wolle, einen Teil des Honorars der Beschwerdegegnerin zu bezahlen, weil das Prozessrisiko nach der Duplik auf ihn übergegangen sei, hätte sie ihm auch für die auf diesen Teil des Prozesses entfallenden Parteientschädigungen keinen Schadenersatz zusprechen dürfen. Schliesslich habe die Beschwerdegegnerin ebenfalls nicht nachgewiesen, dass die Argumente in der Triplik und in den darauf folgenden Eingaben im Folgeprozess hätten verwertet werden können, was die Vorinstanz unbewiesen angenommen und damit erneut Art. 8 ZGB verletzt habe.</w:t>
      </w:r>
    </w:p>
    <w:p>
      <w:r>
        <w:t>Mit diesen Argumenten verkennt der Beschwerdeführer, dass die Vorinstanz den Grund für die Ablehnung einer Rückerstattung des auf jenen Teil des Honorars entfallenden Betrags, der nach Erhebung der Einrede der fehlenden Passivlegitimation in der Duplik anfiel, primär in der vom Beschwerdeführer genehmigten Fortführung des Verfahrens erblickte. Wenn der Beschwerdeführer vorbringt, die Vorinstanz habe diese Arbeiten für im Folgeprozess verwertbar erachtet, gibt er die Begründung der Vorinstanz bloss selektiv wieder. Deren Hauptargument für die Verneinung einer Rückerstattungspflicht war die erwähnte Genehmigung durch den Beschwerdeführer. Den Ausführungen der Vorinstanz nicht zu entnehmen ist indes, dass die von der Triplik an geleisteten Arbeiten im Folgeprozess vollumfänglich hätten verwertet werden können. Vielmehr führte sie unter Verweis auf die Akten an, in der Triplik sei auch auf Einwendungen in der Duplik eingegangen worden, welche nunmehr im Zweitprozess bereits mit der ersten Eingabe hätten verwendet werden können. Er sei von der Beschwerdegegnerin über die Kosten- und Prozessrisiken aufgeklärt worden und habe in Kenntnis dieser die Fortführung des Prozesses genehmigt. Da die Vorinstanz in der (genehmigten) Arbeit der Beschwerdegegnerin ab der Triplik (und den Vorarbeiten hierfür) keine Sorgfaltspflichtverletzung erblickte, musste sie die Frage nach der Brauchbarkeit der Arbeiten für den Folgeprozess denn auch nicht prüfen, da insofern keine Herabsetzung des Honorars angezeigt war (vgl. E. 2.1 hiervor). Soweit der Beschwerdeführer vorbringt, dass ihm nichts anderes übrig geblieben sei, als den Prozess weiterzuführen, da er sich ansonsten später dem Einwand ausgesetzt gesehen hätte, der Rückzug der Klage, und nicht die Sorgfaltspflichtverletzung, sei der Grund für die Kosten gewesen, überzeugt seine Argumentation nicht. Gemäss den vorinstanzlichen Feststellungen stiess die Ehefrau des Beschwerdeführers die in der Triplik vertretene Position an, indem sie gegenüber der Beschwerdegegnerin darlegte, wie die D.________ die beiden Gesellschaften vermische. Die Beschwerdegegnerin stellte sich namens des Beschwerdeführers sodann auf den Standpunkt, die beiden Versicherungsgesellschaften würden solidarisch haften. Der Beschwerdeführer hiess diese Eingabe ausdrücklich gut. Dies zeigt, dass er von der Prozessstrategie überzeugt war und das Verfahren nicht bloss deshalb weiterführte, um dem erwähnten allfälligen Einwand der Beschwerdegegnerin in einem späteren Prozess zu entgehen.</w:t>
      </w:r>
    </w:p>
    <w:p>
      <w:r>
        <w:t>Soweit der Beschwerdeführer eine Inkonsistenz des vorinstanzlichen Entscheids darin auszumachen glaubt, dass ihm die Erstinstanz Schadenersatz für die von ihm der D.E.________ AG zu bezahlende Parteientschädigung im Verfahren vor dem Sozialversicherungsgericht sowie für seine nicht gedeckten Prozesskosten im bundesgerichtlichen Verfahren gegen ebenjene Partei zusprach, die Vorinstanz jedoch eine Reduktion des Honorars ablehnte, ist ihm nicht zu folgen, da beide Anspruchsgrundlagen grundsätzlich voneinander unabhängig sind: So ist durchaus denkbar, dass eine Sorgfaltspflichtverletzung des Beauftragten nicht zu einer Reduktion des Honorars führt, da das Ergebnis für ihn vollends brauchbar ist, die Pflichtverletzung jedoch trotzdem eine Schädigung bewirkte, für welche dem Auftraggeber Schadenersatz zuzusprechen ist. Ob die Erstinstanz der Beschwerdegegnerin - wie vom Beschwerdeführer vorgebracht - mangels Verneinung einer Sorgfaltspflichtverletzung für ihre Arbeiten nach der Duplik entsprechend weniger Schadenersatz hätte zusprechen müssen, hatte die Vorinstanz nicht zu prüfen, da jener Teil des erstinstanzlichen Urteils vor Obergericht nicht angefochten wurde.</w:t>
      </w:r>
    </w:p>
    <w:p>
      <w:r>
        <w:rPr>
          <w:b/>
        </w:rPr>
        <w:t>E. 3</w:t>
      </w:r>
    </w:p>
    <w:p>
      <w:r>
        <w:t>Weiter ist umstritten, ob dem Beschwerdeführer ein Anspruch auf Rückerstattung des der Beschwerdegegnerin ausgerichteten Honorars für die Vorbereitung des Prozesses gegen Rechtsanwalt H.________ in Höhe von Fr. 11'754.95 nebst Zins zusteht.</w:t>
      </w:r>
    </w:p>
    <w:p>
      <w:r>
        <w:rPr>
          <w:b/>
        </w:rPr>
        <w:t>E. 3.1</w:t>
      </w:r>
    </w:p>
    <w:p>
      <w:r>
        <w:t>Die Vorinstanz hielt hierzu fest, die Parteien hätten nach dem in Rechtskraft erwachsenen Urteil des Bezirksgerichts Zürich vom 7. Mai 2012 davon ausgehen dürfen, dass die Verjährung, wie vom Bezirksgericht angenommen, eingetreten sei und dass Rechtsanwalt I.________ sein Mandat unsorgfältig ausgeführt haben könnte, da er die Verjährung nicht unterbrochen habe. Indem die Beschwerdegegnerin gegen Rechtsanwalt H.________ eine Klage vorbereitete, habe sie ihre Sorgfaltspflicht nicht verletzt. Angesichts des erwähnten Urteils des Bezirksgerichts Zürich habe sie von einer aussichtsreichen Klage ausgehen dürfen. Dass die Beschwerdegegnerin dem Beschwerdeführer trotz bereits getätigter Aufwendungen in Sachen Rechtsanwalt H.________ letztlich geraten habe, doch noch beim Sozialversicherungsgericht eine Klage gegen die D.________ einzureichen, sei nicht zu beanstanden gewesen. Wie der Prozess vor diesem gezeigt habe, hätte eine entsprechende Klage Erfolg gehabt, wäre sie gegen die richtige D.________-Gesellschaft eingereicht worden. Wie der Beschwerdeführer selbst geltend mache, hätten die Aufwendungen im Zusammenhang mit Rechtsanwalt H.________ in den Prozess gegen die D.D.________ AG übernommen werden können. Im Ergebnis liege keine Sorgfaltspflichtverletzung vor, weshalb das Honorar geschuldet sei.</w:t>
      </w:r>
    </w:p>
    <w:p>
      <w:r>
        <w:rPr>
          <w:b/>
        </w:rPr>
        <w:t>E. 3.2</w:t>
      </w:r>
    </w:p>
    <w:p>
      <w:r>
        <w:t>Der Beschwerdeführer rügt im Wesentlichen, die Vorinstanz verkenne in willkürlicher Weise, dass die im Rahmen der Vorbereitung der Klage gegen Rechtsanwalt H.________ getätigten Aufwendungen nutzlos gewesen seien und die Beschwerdegegnerin einen behaupteten Nutzen nicht nachgewiesen habe. Auch wenn die Aufwendungen für das Verfahren vor dem Sozialversicherungsgericht übernommen worden seien, seien sie für den Ausgang des Prozesses unnütz gewesen, da die Beschwerdegegnerin den prozesstaktisch falschen Weg eingeschlagen habe. Deshalb sei keine Vergütung geschuldet gewesen.</w:t>
      </w:r>
    </w:p>
    <w:p>
      <w:r>
        <w:t>Mit seiner Argumentation übersieht der Beschwerdeführer, dass eine Herabsetzung der Vergütung ausschliesslich dann zur Diskussion stünde, wenn die Beauftragte unsorgfältig tätig geworden wäre (vgl. E. 2.1 hiervor). Führt sie den Auftrag gehörig aus, ist nicht entscheidend, ob das Ergebnis für den Auftraggeber brauchbar ist, ansonsten beispielsweise der Mandant bei einem verlorenen Prozess jeweils die (vollständige oder teilweise) Rückerstattung des Honorars begehren könnte. Da die Vorinstanz eine Sorgfaltswidrigkeit verneinte, musste sie sich nicht mit der Brauchbarkeit des Ergebnisses der Arbeiten der Beschwerdegegnerin auseinandersetzen. Insofern ist in ihrer Argumentation keine Willkür auszumachen. Soweit der Beschwerdeführer überdies eine Sorgfaltspflichtverletzung der Beschwerdegegnerin behauptet, setzt er sich nicht hinreichend mit den diesbezüglichen Erwägungen der Vorinstanz auseinander, weshalb er den Rügeanforderungen nicht genügt (vgl. E 1.1 hiervor).</w:t>
      </w:r>
    </w:p>
    <w:p>
      <w:r>
        <w:rPr>
          <w:b/>
        </w:rPr>
        <w:t>E. 4</w:t>
      </w:r>
    </w:p>
    <w:p>
      <w:r>
        <w:t>Schliesslich stellt sich die Frage, ob dem Beschwerdeführer Schadenersatzforderungen (Ersatz des Honorars von Rechtsanwalt K.________ sowie Ersatz der Kosten der Betreibungen gegen Rechtsanwalt G.________ und die N.________ AG) gegen die Beschwerdegegnerin zustehen.</w:t>
      </w:r>
    </w:p>
    <w:p>
      <w:r>
        <w:rPr>
          <w:b/>
        </w:rPr>
        <w:t>E. 4.1</w:t>
      </w:r>
    </w:p>
    <w:p>
      <w:r>
        <w:t>Gemäss Art. 398 Abs. 1 OR , der auf Art. 321e Abs. 1 OR verweist, haftet der Rechtsanwalt für den Schaden, den er dem Klienten absichtlich oder fahrlässig zufügt. Seine Haftung unterliegt somit gemäss Art. 97 OR den folgenden vier Voraussetzungen (Urteile 4A_2/2020 vom 16. September 2020 E. 3.1; 4A_350/2019 vom 9. Januar 2020 E. 3.1; 4A_175/2018 vom 19. November 2018 E. 4; 4A_588/2011 vom 3. Mai 2012 E. 2.2.2) : (i) eine Verletzung seiner vertraglichen Pflichten, insbesondere eine Verletzung seiner Sorgfalts- und Treuepflicht ( Art. 398 Abs. 2 OR ; BGE 134 III 534 E. 3.2.2 S. 537; 127 III 357 E. 1 S. 359 f.); (ii) einen Schaden; (iii) einen (natürlichen und adäquaten) Kausalzusammenhang zwischen der Vertragsverletzung und dem Schaden; sowie (iv) ein Verschulden. Der Klient trägt gemäss Art. 8 ZGB die objektive Behauptungs- sowie die Beweislast für die ersten drei Voraussetzungen (zit. Urteile 4A_350/2019 E. 3.1 und 4A_175/2018 E. 4.1). Im Gegenzug hat der Rechtsanwalt zu beweisen, dass ihm keinerlei Verschulden zur Last fällt ("sofern er nicht beweist [...]").</w:t>
      </w:r>
    </w:p>
    <w:p>
      <w:r>
        <w:rPr>
          <w:b/>
        </w:rPr>
        <w:t>E. 4.2</w:t>
      </w:r>
    </w:p>
    <w:p>
      <w:r>
        <w:t>Der Beschwerdeführer begehrt zunächst den Ersatz des Honorars von Rechtsanwalt K.________ in Höhe von Fr. 1'296.-- zuzüglich Zins.</w:t>
      </w:r>
    </w:p>
    <w:p>
      <w:r>
        <w:rPr>
          <w:b/>
        </w:rPr>
        <w:t>E. 4.2.1</w:t>
      </w:r>
    </w:p>
    <w:p>
      <w:r>
        <w:t>Die Vorinstanz erwog hierzu, die Erstinstanz habe den Beschwerdeführer zu Recht zur Tragung des hälftigen Honorars von Rechtsanwalt K.________ verpflichtet. Die Beschwerdegegnerin habe sich nach Prüfung der Umstände als nicht kompetent genug erachtet, die sich stellenden strafrechtlichen Fragen zu beurteilen, weshalb es geradezu geboten gewesen sei, den Beschwerdeführer an einen Strafrechtsspezialisten zu verweisen. Soweit der Beschwerdeführer geltend mache, die Beschwerdegegnerin habe ihn nicht auf das Kostenrisiko aufmerksam gemacht, das mit dessen Mandatierung verbunden sei, habe sie ebenfalls keine Pflichtverletzung begangen. Jeder Person, welche einen Anwalt konsultiere, sei dieses Risiko bekannt. Zudem habe die Aufklärungspflicht über die Kosten den neu mandatierten Anwalt getroffen und nicht die Beschwerdegegnerin.</w:t>
      </w:r>
    </w:p>
    <w:p>
      <w:r>
        <w:rPr>
          <w:b/>
        </w:rPr>
        <w:t>E. 4.2.2</w:t>
      </w:r>
    </w:p>
    <w:p>
      <w:r>
        <w:t>Indem der Beschwerdeführer ohne nähere Ausführungen behauptet, die Vorinstanz verletze mit dieser Begründung Bundesrecht und er pauschal auf seine Ausführungen zur Frage nach dem Anspruch auf Rückerstattung des der Beschwerdegegnerin bezahlten Honorars für den Aufwand nach Erhebung der Einrede der Passivlegitimation verweist, genügt er den Rügeanforderungen nicht (vgl. E. 1.1 hiervor), weshalb auf dieses Vorbringen nicht einzutreten ist.</w:t>
      </w:r>
    </w:p>
    <w:p>
      <w:r>
        <w:rPr>
          <w:b/>
        </w:rPr>
        <w:t>E. 4.3</w:t>
      </w:r>
    </w:p>
    <w:p>
      <w:r>
        <w:t>Weiter verlangt der Beschwerdeführer die Erstattung der ihm entstandenen Kosten für die Betreibungen gegen Rechtsanwalt G.________ und die N.________ AG von je Fr. 203.30 zuzüglich Zins.</w:t>
      </w:r>
    </w:p>
    <w:p>
      <w:r>
        <w:rPr>
          <w:b/>
        </w:rPr>
        <w:t>E. 4.3.1</w:t>
      </w:r>
    </w:p>
    <w:p>
      <w:r>
        <w:t>Die Vorinstanz hielt fest, die Beschwerdegegnerin habe dem Beschwerdeführer nicht empfohlen, gegen Rechtsanwalt G.________ sogleich persönlich eine Betreibung einzuleiten. Insbesondere mache der Beschwerdeführer nicht geltend, er habe solche Ansprüche selbständig bzw. mittels eines anderen Anwalts verfolgt. Der Beschwerdeführer habe sich offenbar aus eigenen Stücken und ohne Rücksprache mit der Beschwerdegegnerin zu Betreibungen gegen Rechtsanwalt G.________ und dessen Anwaltskanzlei entschlossen. Folglich habe die Erstinstanz in diesem Punkt zu Recht eine Schadenersatzpflicht verneint.</w:t>
      </w:r>
    </w:p>
    <w:p>
      <w:r>
        <w:rPr>
          <w:b/>
        </w:rPr>
        <w:t>E. 4.3.2</w:t>
      </w:r>
    </w:p>
    <w:p>
      <w:r>
        <w:t>Der Beschwerdeführer rügt eine aktenwidrige Sachverhaltsfeststellung. Er habe nicht " sogleich " eine Betreibung eingeleitet, sondern zum spätestmöglichen Zeitpunkt, nämlich kurz vor Ablauf der Verjährungsfrist. Auch habe er nicht geltend machen können, er habe diesbezügliche Ansprüche verfolgt, da er ja das Ergebnis des Prozesses vor dem Sozialversicherungsgericht habe abwarten müssen.</w:t>
      </w:r>
    </w:p>
    <w:p>
      <w:r>
        <w:t>Der Beschwerdeführer legt damit nicht dar, inwiefern die Sachverhaltsfeststellung der Vorinstanz willkürlich wäre und inwiefern sich der Sachverhalt, wie er sich aus seiner Sicht korrekt präsentiert, zu einem anderen Ergebnis führen würde, weshalb er den Rügeanforderungen nicht genügt (vgl. E. 1.2.1 hiervor).</w:t>
      </w:r>
    </w:p>
    <w:p>
      <w:r>
        <w:rPr>
          <w:b/>
        </w:rPr>
        <w:t>E. 5</w:t>
      </w:r>
    </w:p>
    <w:p>
      <w:r>
        <w:t>Umstritten ist schliesslich, ob es die Vorinstanz zu Recht ablehnte, das von der Beschwerdegegnerin in den Prozess eingeführte psychiatrische Gutachten über den Beschwerdegegner aus den Akten zu weisen sowie jene Passagen, welche auf das Gutachten Bezug nehmen, aus dem erstinstanzlichen Urteil zu entfernen.</w:t>
      </w:r>
    </w:p>
    <w:p>
      <w:r>
        <w:rPr>
          <w:b/>
        </w:rPr>
        <w:t>E. 5.1</w:t>
      </w:r>
    </w:p>
    <w:p>
      <w:r>
        <w:t>Die Vorinstanz erwog, die Beschwerdegegnerin habe sich auf den Standpunkt gestellt, dass der Beschwerdeführer überdurchschnittlich prozesserfahren sei und von seiner Ehefrau, einer qualifizierten Rechtsanwältin, beraten worden sei. Die Beschwerdegegnerin hätte die strategischen und prozessualen Schritte in laufender vorgängiger Absprache mit ihnen gemacht. Der Beschwerdeführer und seine Ehefrau hätten insbesondere im Allgemeinen Teil des Obligationenrechts mindestens denselben Wissensstand wie die Beschwerdegegnerin. Er hätte schon sein ganzes Leben lang prozessiert und dies auch gegenüber dem Gutachter geschildert. Mit der Replik im vorinstanzlichen Verfahren habe der Beschwerdeführer seine Prozesserfahrung bestritten. Unter diesen Umständen sei es nicht zu beanstanden, wenn die Beschwerdegegnerin das sich bei ihr befindliche psychiatrische Gutachten eingereicht habe, um die vom Beschwerdeführer bestrittene Tatsache zu beweisen, gebe dieses doch unter anderem die Lebensgeschichte des Beschwerdeführers wieder und führe die Prozesse auf, welche der Beschwerdeführer dem Gutachter geschildert habe.</w:t>
      </w:r>
    </w:p>
    <w:p>
      <w:r>
        <w:t>Im Übrigen habe der Beschwerdeführer mit der Unterzeichnung einer Entbindungserklärung am 8. Juni 2017 einer Offenlegung der Daten, welche der Beschwerdegegnerin aus dem früheren Mandatsverhältnis bekannt waren, im vorliegenden Verfahren ausdrücklich zugestimmt. Somit habe die Beschwerdegegnerin durch das Einreichen des Gutachtens weder die Persönlichkeitsrechte des Beschwerdeführers noch das Datenschutzgesetz verletzt.</w:t>
      </w:r>
    </w:p>
    <w:p>
      <w:r>
        <w:t>Auf den Antrag, gewisse Passagen im Urteil der Erstinstanz zu entfernen, sei mangels gesetzlicher Grundlage nicht einzutreten.</w:t>
      </w:r>
    </w:p>
    <w:p>
      <w:r>
        <w:rPr>
          <w:b/>
        </w:rPr>
        <w:t>E. 5.2</w:t>
      </w:r>
    </w:p>
    <w:p>
      <w:r>
        <w:t>Der Beschwerdeführer rügt diese Auffassung als willkürlich. Die von der Vorinstanz angeführten Umstände seien frei erfunden. Diese ergäben sich nicht aus den Akten. Die Beschwerdegegnerin habe nie etwas derartiges behauptet. Des Weiteren verstosse die Vorinstanz gegen Bundesrecht, wenn sie einen Verstoss gegen das Datenschutzgesetz verneine. Mit der Unterzeichnung der Einwilligung habe er nicht damit rechnen müssen, dass davon auch besonders schützenswerte Personendaten i.S.v. Art. 3 lit. c Ziff. 2 DSG gemeint seien, welche im Prozess gar keine Rolle spielten.</w:t>
      </w:r>
    </w:p>
    <w:p>
      <w:r>
        <w:t>Soweit der Beschwerdeführer behauptet, die Beschwerdegegnerin habe die von der Vorinstanz wiedergegebenen Aussagen nicht getätigt, kann auf die von der Vorinstanz angeführten Aktenhinweise verwiesen werden, welche allesamt zutreffend sind. Insofern kann nicht von einer willkürlichen Sachverhaltsfeststellung ausgegangen werden. Ebenfalls nicht zu beanstanden ist, dass die Vorinstanz keinen Verstoss gegen das Datenschutzgesetz annahm, da dieses gemäss dessen Art. 2 Abs. 2 lit. c unter anderem auf hängige Zivilprozesse keine Anwendung findet. Des Weiteren ermächtigte der Beschwerdeführer die Beschwerdegegnerin durch die von ihm unterzeichnete Entbindungserklärung explizit " ihr anvertraute Geheimnisse aus den oben genannten Mandatsverhältnissen gegenüber einem allfälligen Rechtsvertreter, gegenüber den zuständigen Gerichten und Behörden [...] zu offenbaren ". Das erwähnte Gutachten wurde der Beschwerdegegnerin denn auch im Rahmen der zwischen ihr und dem Beschwerdeführer bestehenden Mandatsverhältnisse überlassen, weshalb sich die Entbindungserklärung auch auf dieses Gutachten bezieht. Da Teile der darin enthaltenen Informationen im Verfahren vor der Erstinstanz - wie die Vorinstanz entgegen der Ansicht des Beschwerdeführers nachvollziehbar darlegte - prozessrelevant waren, war die Beschwerdeführerin berechtigt, dieses Gutachten ins Verfahren einzubringen und die Vorinstanzen durften in ihren Urteilsbegründungen folglich auch darauf Bezug nehmen.</w:t>
      </w:r>
    </w:p>
    <w:p>
      <w:r>
        <w:rPr>
          <w:b/>
        </w:rPr>
        <w:t>E. 6</w:t>
      </w:r>
    </w:p>
    <w:p>
      <w:r>
        <w:t>Soweit sich der Beschwerdeführer gegen die Erwägungen der Vorinstanz betreffend seinen Eventualantrag auf "Verrechnung" der Honorare von Rechtsanwalt L.________ und Rechtsanwalt M.________ im Zweitprozess wendet, ist auf seine Vorbringen nicht einzugehen, da er den vor der Vorinstanz gestellten Eventualantrag im bundesgerichtlichen Verfahren nicht aufrechterhält.</w:t>
      </w:r>
    </w:p>
    <w:p>
      <w:r>
        <w:rPr>
          <w:b/>
        </w:rPr>
        <w:t>E. 7</w:t>
      </w:r>
    </w:p>
    <w:p>
      <w:r>
        <w:t>Im Ergebnis ist die Beschwerde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