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353/2013 vom 23. Oktober 2013</w:t>
      </w:r>
    </w:p>
    <w:p>
      <w:r>
        <w:t>Bundesgericht, 2013-10-23, FR</w:t>
      </w:r>
    </w:p>
    <w:p>
      <w:r>
        <w:rPr>
          <w:b/>
        </w:rPr>
        <w:t xml:space="preserve">Quelle: </w:t>
      </w:r>
      <w:r>
        <w:t>https://mcp.opencaselaw.ch/entscheid/bger_4A_353_2013</w:t>
      </w:r>
    </w:p>
    <w:p>
      <w:r>
        <w:t>FR: TF 4A 353/2013 du 23 octobre 2013</w:t>
      </w:r>
    </w:p>
    <w:p>
      <w:r>
        <w:t>IT: TF 4A 353/2013 del 23 ottobre 2013</w:t>
      </w:r>
    </w:p>
    <w:p>
      <w:pPr>
        <w:pStyle w:val="Heading2"/>
      </w:pPr>
      <w:r>
        <w:t>Regeste</w:t>
      </w:r>
    </w:p>
    <w:p>
      <w:r>
        <w:t>bail à loyer; mesures provisionnelles | Droit des contrats</w:t>
      </w:r>
    </w:p>
    <w:p>
      <w:pPr>
        <w:pStyle w:val="Heading2"/>
      </w:pPr>
      <w:r>
        <w:t>Erwägungen</w:t>
      </w:r>
    </w:p>
    <w:p>
      <w:r>
        <w:rPr>
          <w:b/>
        </w:rPr>
        <w:t>E. 1</w:t>
      </w:r>
    </w:p>
    <w:p>
      <w:r>
        <w:t>Le recours constitutionnel subsidiaire est irrecevable dès lors que la valeur litigieuse ouvrant la voie du recours en matière civile est incontestablement atteinte ( art. 113 LTF ). Le recours en matière civile est par ailleurs irrecevable en tant qu'il est dirigé contre l'ordonnance du 27 mai 2013: seule la décision de la dernière instance cantonale est attaquable ( art. 75 al. 1 LTF ). Sont également irrecevables les conclusions autres que celles demandant le prononcé d'une interdiction par voie de mesures provisionnelles; il s'agit en effet de conclusions nouvelles, présentées pour la première fois dans le cadre de la procédure litigieuse ( art. 99 al. 2 LTF ). En bref, seul le rejet de la requête provisionnelle par la Chambre des baux et loyers peut faire l'objet du recours en matière civile.</w:t>
      </w:r>
    </w:p>
    <w:p>
      <w:r>
        <w:rPr>
          <w:b/>
        </w:rPr>
        <w:t>E. 2.1</w:t>
      </w:r>
    </w:p>
    <w:p>
      <w:r>
        <w:t>La Chambre cantonale a refusé d'ordonner des mesures provisionnelles dans le cadre d'une procédure au fond pendante; son arrêt est une décision incidente au sens de l' art. 93 LTF ( ATF 134 I 83 consid. 3.1). Celle-ci peut faire l'objet d'un recours immédiat dans deux cas de figure uniquement: lorsqu'elle peut causer un préjudice irréparable ( art. 93 al. 1 let. a LTF ), ou lorsque l'admission du recours peut conduire immédiatement à une décision finale permettant d'éviter une procédure probatoire longue et coûteuse ( art. 93 al. 1 let. b LTF ). Cette seconde hypothèse n'est pas pertinente en l'espèce. Selon la jurisprudence, le "préjudice irréparable" doit être de nature juridique, et ne pas pouvoir être réparé ultérieurement par une décision finale favorable au recourant ( ATF 138 III 333 consid. 1.3.1). En revanche, un préjudice économique ou de pur fait, tel que la prolongation de la procédure ou un accroissement des frais de celle-ci, ne suffit pas ( ATF 138 III 190 consid. 6 p. 192; 137 III 589 consid. 1.2.3). Il appartient au recourant d'alléguer et d'établir la possibilité que la décision incidente lui cause un dommage irréparable, à moins que celui-ci ne fasse d'emblée aucun doute ( ATF 133 III 629 consid. 2.3.1).</w:t>
      </w:r>
    </w:p>
    <w:p>
      <w:r>
        <w:rPr>
          <w:b/>
        </w:rPr>
        <w:t>E. 2.2</w:t>
      </w:r>
    </w:p>
    <w:p>
      <w:r>
        <w:t>Le recourant allègue qu'il subit un manque à gagner et que le goodwill du restaurant se déprécie à cause de l'interruption d'exploitation. Or, le recourant requiert l'interdiction de remettre le restaurant et l'appartement à un tiers; le prononcé d'une telle interdiction n'implique pas que le recourant serait alors habilité à exploiter lui-même le restaurant jusqu'à droit connu au fond. L'on ne discerne dès lors pas quelle incidence immédiate l'admission du recours serait censée avoir sur les revenus du recourant, ni quel préjudice l'arrêt attaqué pourrait entraîner à cet égard. La question pourrait tout au plus se poser si, ultérieurement, le contrat passé avec un tiers ne pouvait pas être résilié à temps pour pouvoir remettre les locaux sans délai au recourant qui aurait obtenu gain de cause au fond; tout cela est vague. Peu importe toutefois, le recourant pouvant le cas échéant demander des dommages-intérêts en réparation d'un éventuel manque à gagner; on ne discerne donc pas le caractère irréparable d'un éventuel préjudice au niveau du revenu. Quant à la perte de goodwill que le recourant se contente d'affirmer sans autre démonstration, il ne s'agit pas d'un fait notoire, et d'autant moins si un tiers venait à reprendre rapidement le restaurant. Quoi qu'il en soit, à supposer que l'interruption d'exploitation entraîne une perte de goodwill, il en irait à fortiori de même si l'établissement devait rester fermé parce que le recourant obtiendrait une mesure d'interdiction de remise à un tiers; sur ce plan, on ne discerne pas quel préjudice l'admission du recours permettrait d'éviter. En bref, le recours est irrecevable.</w:t>
      </w:r>
    </w:p>
    <w:p>
      <w:r>
        <w:rPr>
          <w:b/>
        </w:rPr>
        <w:t>E. 3</w:t>
      </w:r>
    </w:p>
    <w:p>
      <w:r>
        <w:t>Au demeurant,dans un recours dirigé contre une décision sur mesures provisionnelles, seule peut être invoquée la violation de droits constitutionnels ( art. 98 LTF ). Cette règle est exhaustive; les autres griefs d'ordinaire recevables (cf. art. 95 à 97 LTF) sont exclus ( BERNARD CORBOZ, Commentaire de la LTF, 2009, n° 3 ad art. 98 LTF ). Ces principes semblent avoir échappé au recourant. Les griefs d'ordre constitutionnel doivent être expressément invoqués et précisément motivés; il n'y a pas d'examen d'office ( art. 106 al. 2 LTF ; ATF 135 III 232 consid. 1.2; 134 II 244 consid. 2.2). La motivation du présent recours ne satisfait pas à ces exigences légales; le recourant argumente comme si la cour de céans revoyait librement les faits et le droit. Il ne suffit en particulier pas d'affirmer, sans autre explication et sans référence précise à des pièces du dossier, avoir fait plusieurs démarches auprès du Service du commerce pour démontrer le caractère insoutenable de la constatation inverse opérée par la Chambre cantonale; en outre, même si l'impossibilité de reprendre l'exploitation du restaurant à temps ne devait pas être imputée à une faute du recourant, cela serait sans pertinence; en effet, il est constant que l'empêchement n'a pas été causé par l'intimée, celle-ci n'ayant pas intentionnellement fait en sorte que la condition résolutoire prévue dans l'accord du 3 mars 2010 ne se réalise pas.</w:t>
      </w:r>
    </w:p>
    <w:p>
      <w:r>
        <w:rPr>
          <w:b/>
        </w:rPr>
        <w:t>E. 4</w:t>
      </w:r>
    </w:p>
    <w:p>
      <w:r>
        <w:t>Le recourant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