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4A_352/2022 vom 25. Oktober 2022</w:t>
      </w:r>
    </w:p>
    <w:p>
      <w:r>
        <w:t>Bundesgericht, 2022-10-25, DE</w:t>
      </w:r>
    </w:p>
    <w:p>
      <w:r>
        <w:rPr>
          <w:b/>
        </w:rPr>
        <w:t xml:space="preserve">Quelle: </w:t>
      </w:r>
      <w:r>
        <w:t>https://mcp.opencaselaw.ch/entscheid/bger_4A_352_2022</w:t>
      </w:r>
    </w:p>
    <w:p>
      <w:r>
        <w:t>FR: TF 4A_352/2022 du 25 octobre 2022</w:t>
      </w:r>
    </w:p>
    <w:p>
      <w:r>
        <w:t>IT: TF 4A_352/2022 del 25 ottobre 2022</w:t>
      </w:r>
    </w:p>
    <w:p>
      <w:pPr>
        <w:pStyle w:val="Heading2"/>
      </w:pPr>
      <w:r>
        <w:t>Erwägungen</w:t>
      </w:r>
    </w:p>
    <w:p>
      <w:r>
        <w:rPr>
          <w:b/>
        </w:rPr>
        <w:t>E. 1</w:t>
      </w:r>
    </w:p>
    <w:p>
      <w:r>
        <w:t>Am 22. November 2019 schlossen die C.________ AG respektive A.________ (Beschwerdeführer) als Verkäufer und B.________ (Beschwerdegegner) als Käufer einen Vertrag über den Kauf von Aktien zu einem Preis von Fr. 30'000.-- ab.</w:t>
      </w:r>
    </w:p>
    <w:p>
      <w:r>
        <w:t>Mit Schreiben vom 25. Juni 2020 erklärte B.________ den Rücktritt vom Vertrag und forderte die Rückzahlung des bereits geleisteten Kaufpreises von Fr. 30'000.--.</w:t>
      </w:r>
    </w:p>
    <w:p>
      <w:r>
        <w:t>Am 11. Mai 2021 reichte B.________ beim Bezirksgericht Weinfelden eine Klage ein. Er verlangte, A.________ sei zu verurteilen, ihm Fr. 30'000.-- nebst Zins zu bezahlen, unter Beseitigung des Rechtsvorschlags im entsprechenden Umfang in der Betreibung Nr. xxx des Betreibungsamts des Bezirks U.________.</w:t>
      </w:r>
    </w:p>
    <w:p>
      <w:r>
        <w:t>Mit Entscheid vom 2. Juli 2021 hiess die Einzelrichterin am Bezirksgericht die Klage gut.</w:t>
      </w:r>
    </w:p>
    <w:p>
      <w:r>
        <w:t>Die dagegen erhobene Berufung beurteilte das Obergericht des Kantons Thurgau mit Entscheid vom 17. Februar 2022 nach Würdigung der im Recht liegenden Beweismittel als unbegründet.</w:t>
      </w:r>
    </w:p>
    <w:p>
      <w:r>
        <w:t>A.________ hat mit Eingabe an das Bundesgericht vom 1. September 2022 erklärt, diesen Entscheid mit Beschwerde anzufechten, und um - zunächst superprovisorische - Erteilung der aufschiebenden Wirkung ersucht.</w:t>
      </w:r>
    </w:p>
    <w:p>
      <w:r>
        <w:t>Mit Verfügung vom 2. September 2022 wurde der Beschwerde mangels Erfolgsaussichten keine aufschiebende Wirkung zuerkannt.</w:t>
      </w:r>
    </w:p>
    <w:p>
      <w:r>
        <w:t>Es wurden keine Vernehmlassungen eingeholt.</w:t>
      </w:r>
    </w:p>
    <w:p>
      <w:r>
        <w:rPr>
          <w:b/>
        </w:rPr>
        <w:t>E. 2</w:t>
      </w:r>
    </w:p>
    <w:p>
      <w:r>
        <w:t>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)."Offensichtlich unrichtig" bedeutet dabei "willkürlich" ( BGE 140 III 115 E. 2; 135 III 397 E. 1.5). Die Partei, welche die Sachverhaltsfeststellung der Vorinstanz anfechten will, muss klar und substanziiert aufzeigen, inwiefern diese Voraussetzungen erfüllt sein sollen ( BGE 140 III 16 E. 1.3.1 mit Hinweisen).</w:t>
      </w:r>
    </w:p>
    <w:p>
      <w:r>
        <w:t>Kritisieren die Parteien die vorinstanzliche Beweiswürdigung, ist zu beachten, dass das Bundesgericht in diese nur eingreift, wenn sie willkürlich ist.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Der Beschwerdeführer schildert in freier Interpretation einiger ausgewählter Beweismittel seine eigene Sicht des Sachverhalts, ohne sich mit den Erwägungen des Obergerichts auseinanderzusetzen, geschweige denn mit hinreichender Begründung Willkür in den vorinstanzlichen Tatsachenfeststellungen beziehungsweise der obergerichtlichen Beweiswürdigung zu beanstanden. Damit genügt die Beschwerde den eben dargestellten Begründungsanforderungen offensichtlich nicht.</w:t>
      </w:r>
    </w:p>
    <w:p>
      <w:r>
        <w:t>Sollte der Beschwerdeführer mit seiner blossen Behauptung, im angefochtenen Entscheid hätten "die Beweismittel act. 6.5 und act. 6.6 keine Berücksichtigung" gefunden, eine Verletzung seines Anspruchs auf rechtliches Gehör monieren wollen, so stellte dies eine unzulässige verkappte Sachverhaltsrüge dar, jedenfalls keine hinreichend begründete Gehörskritik. Auch auf den nicht weiter erklärten Vorwurf einer Verletzung von Art. 8 ZGB kann nicht eingegangen werden.</w:t>
      </w:r>
    </w:p>
    <w:p>
      <w:r>
        <w:t>Die Beschwerde enthält offensichtlich keine hinreichende Begründung, weshalb im vereinfachten Verfahren nach Art. 108 Abs. 1 lit. b BGG nicht auf sie einzutreten ist.</w:t>
      </w:r>
    </w:p>
    <w:p>
      <w:r>
        <w:rPr>
          <w:b/>
        </w:rPr>
        <w:t>E. 4</w:t>
      </w:r>
    </w:p>
    <w:p>
      <w:r>
        <w:t>Bei diesem Ausgang des Verfahrens sind die Gerichtskosten gemäss Art. 66 Abs. 1 BGG dem Beschwerdeführer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