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4A_352/2010 vom 5. Oktober 2010</w:t>
      </w:r>
    </w:p>
    <w:p>
      <w:r>
        <w:t>Bundesgericht, 2010-10-05, FR</w:t>
      </w:r>
    </w:p>
    <w:p>
      <w:r>
        <w:rPr>
          <w:b/>
        </w:rPr>
        <w:t xml:space="preserve">Quelle: </w:t>
      </w:r>
      <w:r>
        <w:t>https://mcp.opencaselaw.ch/entscheid/bger_4A_352_2010</w:t>
      </w:r>
    </w:p>
    <w:p>
      <w:r>
        <w:t>FR: TF 4A_352/2010 du 5 octobre 2010</w:t>
      </w:r>
    </w:p>
    <w:p>
      <w:r>
        <w:t>IT: TF 4A_352/2010 del 5 ottobre 2010</w:t>
      </w:r>
    </w:p>
    <w:p>
      <w:pPr>
        <w:pStyle w:val="Heading2"/>
      </w:pPr>
      <w:r>
        <w:t>Erwägungen</w:t>
      </w:r>
    </w:p>
    <w:p>
      <w:r>
        <w:rPr>
          <w:b/>
        </w:rPr>
        <w:t>E. 1.1</w:t>
      </w:r>
    </w:p>
    <w:p>
      <w:r>
        <w:t>Dirigé contre une décision finale ( art. 90 LTF ) rendue par un tribunal supérieur statuant en dernière instance cantonale ( art. 75 al. 1 et 2 LTF ), dans une affaire de droit du travail dont la valeur litigieuse atteint manifestement le seuil de 15'000 fr. ( art. 74 al. 1 let. a LTF ), le recours, déposé par la partie qui a succombé en instance cantonale ( art. 76 al. 1 LTF ), est en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w:t>
      </w:r>
    </w:p>
    <w:p>
      <w:r>
        <w:t>Selon les considérants de l'arrêt attaqué, le recourant et X.________ sont débiteurs solidaires envers l'intimé du salaire du 1er octobre 2008 au 4 janvier 2009, soit d'un montant total de 23'083 fr.35. Cette conclusion n'apparaît pas dans le dispositif de l'arrêt cantonal. Et pour cause puisqu'il est établi que l'intimé n'a jamais réclamé en justice son salaire pour cette période, lequel lui a été régulièrement payé. Avec le recourant, il faut admettre que le passage en question est un «copier/coller» inapproprié d'un arrêt rendu dans l'une des quatre autres affaires opposant X.________ et le recourant à d'anciens employés de celui-ci. Cette inadvertance manifeste est sans conséquence pour le traitement du recours.</w:t>
      </w:r>
    </w:p>
    <w:p>
      <w:r>
        <w:rPr>
          <w:b/>
        </w:rPr>
        <w:t>E. 3</w:t>
      </w:r>
    </w:p>
    <w:p>
      <w:r>
        <w:t>Invoquant l' art. 321c al. 3 CO , le recourant reproche à la cour cantonale d'avoir inclus, dans le salaire déterminant pour la rétribution des heures supplémentaires, les différentes primes versées à l'intimé. A son sens, il résulte du règlement d'entreprise faisant partie intégrante du contrat de travail que ces primes ne sont pas comprises dans le salaire de base.</w:t>
      </w:r>
    </w:p>
    <w:p>
      <w:r>
        <w:rPr>
          <w:b/>
        </w:rPr>
        <w:t>E. 3.1</w:t>
      </w:r>
    </w:p>
    <w:p>
      <w:r>
        <w:t>Aux termes de l' art. 321c al. 3 CO , l'employeur est tenu de rétribuer les heures de travail supplémentaires qui ne sont pas compensées par un congé en versant le salaire normal majoré d'un quart au moins, sauf clause contraire d'un accord écrit, d'un contrat-type de travail ou d'une convention collective. Le salaire normal comprend tous les éléments composant la rémunération obligatoirement due par l'employeur, y compris le treizième salaire et les diverses indemnités prévues contractuellement en relation avec le travail (arrêt 4C.414/2005 du 29 mars 2006 consid. 5.2), comme, par exemple, la prime de risque (Streiff/von Kaenel, Arbeitsvertrag, 6e éd. 2006, n° 12 ad art. 321d CO p. 164) ou un supplément de salaire versé en compensation du travail de nuit ou effectué en équipes (Philippe Carruzzo, La rémunération du travailleur et le remboursement des frais, 2007, p. 94).</w:t>
      </w:r>
    </w:p>
    <w:p>
      <w:r>
        <w:rPr>
          <w:b/>
        </w:rPr>
        <w:t>E. 3.2</w:t>
      </w:r>
    </w:p>
    <w:p>
      <w:r>
        <w:t>En l'espèce, la cour cantonale a constaté que les primes litigieuses faisaient clairement partie du salaire convenu, même si certains postes ont varié dans le temps. Le recourant ne remet pas en cause cette constatation en tant que telle, mais prétend que, selon le contrat liant les parties, les heures supplémentaires étaient calculées exclusivement sur le salaire de base, à l'exclusion des primes.</w:t>
      </w:r>
    </w:p>
    <w:p>
      <w:r>
        <w:t>A ce propos, aucun accord écrit dérogatoire ne ressort des articles du règlement d'entreprise cités par le recourant. Les art. 13.2 et 13.3 relatifs aux heures supplémentaires se bornent à prévoir que «les heures supplémentaires accomplies au-delà du planning sont, en règle générale, payées avec un supplément de 25%» et que les «heures effectuées le dimanche et les jours fériés sont majorées de 50%». Quant à l'art. 15, il mentionne le salaire mensuel brut et différentes primes, mais on ne voit pas comment cette disposition pourrait être interprétée comme excluant les primes du salaire déterminant pour le calcul de la rémunération due pour les heures supplémentaires. Le moyen tiré d'une violation de l' art. 321c CO est mal fondé.</w:t>
      </w:r>
    </w:p>
    <w:p>
      <w:r>
        <w:rPr>
          <w:b/>
        </w:rPr>
        <w:t>E. 4</w:t>
      </w:r>
    </w:p>
    <w:p>
      <w:r>
        <w:t>Sous la rubrique «Recevabilité et moyens» de son mémoire, le recourant reproche à la cour cantonale de l'avoir condamné seul au paiement des heures supplémentaires, sans appliquer la solidarité fondée sur l' art. 333 CO en cas de transfert des rapports de travail lié à un transfert d'entreprise.</w:t>
      </w:r>
    </w:p>
    <w:p>
      <w:r>
        <w:t>Le recourant se borne à invoquer l'arbitraire en deux phrases et n'en tire aucune conséquence dans les conclusions de son recours, qui ne tendent pas, à titre subsidiaire, à ce que X.________ soit solidairement condamnée à payer à l'intimé la rémunération complémentaire liée aux heures supplémentaires. Faute d'une conclusion explicite ou pouvant, en tout cas, se déduire clairement du mémoire, il n'y a pas lieu d'entrer en matière sur ce point.</w:t>
      </w:r>
    </w:p>
    <w:p>
      <w:r>
        <w:rPr>
          <w:b/>
        </w:rPr>
        <w:t>E. 5</w:t>
      </w:r>
    </w:p>
    <w:p>
      <w:r>
        <w:t>Vu le sort réservé au recours, les frais judiciaires seront mis à la charge de son auteur ( art. 66 al. 1 LTF ). Comme les conclusions de la demande, à l'ouverture de l'action, étaient inférieures à 30'000 fr., il convient de percevoir un émolument réduit, conformément à l' art. 65 al. 4 let . c LTF (cf. ATF 115 II 30 consid. 5b p. 41). En outre, le recourant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