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4A_350/2022 vom 28. September 2022</w:t>
      </w:r>
    </w:p>
    <w:p>
      <w:r>
        <w:t>Bundesgericht, 2022-09-28, DE</w:t>
      </w:r>
    </w:p>
    <w:p>
      <w:r>
        <w:rPr>
          <w:b/>
        </w:rPr>
        <w:t xml:space="preserve">Quelle: </w:t>
      </w:r>
      <w:r>
        <w:t>https://mcp.opencaselaw.ch/entscheid/bger_4A_350_2022</w:t>
      </w:r>
    </w:p>
    <w:p>
      <w:r>
        <w:t>FR: TF 4A_350/2022 du 28 septembre 2022</w:t>
      </w:r>
    </w:p>
    <w:p>
      <w:r>
        <w:t>IT: TF 4A_350/2022 del 28 settembre 2022</w:t>
      </w:r>
    </w:p>
    <w:p>
      <w:pPr>
        <w:pStyle w:val="Heading2"/>
      </w:pPr>
      <w:r>
        <w:t>Erwägungen</w:t>
      </w:r>
    </w:p>
    <w:p>
      <w:r>
        <w:rPr>
          <w:b/>
        </w:rPr>
        <w:t>E. 1</w:t>
      </w:r>
    </w:p>
    <w:p>
      <w:r>
        <w:t>Mit Klage vom 16. August 2021 stellte der Beschwerdeführer dem Regionalgericht Bern-Mittelland den (im Verfahrensverlauf angepassten) Antrag, die Beschwerdegegnerin sei zur Zahlung von Fr. 23'903.30 zu verurteilen.</w:t>
      </w:r>
    </w:p>
    <w:p>
      <w:r>
        <w:t>Mit Entscheid vom 6. April 2022 wies das Regionalgericht die Klage ab. Auf eine gegen diesen Entscheid erhobene Berufung trat das Obergericht des Kantons Bern mit Entscheid vom 22. August 2022 infolge unzureichender Begründung des Rechtsmittels nicht ein.</w:t>
      </w:r>
    </w:p>
    <w:p>
      <w:r>
        <w:t>Mit Eingabe vom 28. August 2022 erklärte der Beschwerdeführer dem Bundesgericht, den Entscheid des Obergerichts des Kantons Bern vom 22. August 2022 mit Beschwerde anfechten zu wollen.</w:t>
      </w:r>
    </w:p>
    <w:p>
      <w:r>
        <w:t>Am 12. September 2022 reichte der Beschwerdeführer dem Bundesgericht eine weitere Eingabe ein.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Der Beschwerdeführer zeigt nicht unter Bezugnahme auf die Erwägungen des angefochtenen Entscheids des Obergerichts des Kantons Bern vom 22. August 2022 auf, inwiefern die Vorinstanz mit ihrem Nichteintretensentscheid verfassungsmässige Rechte verletzt hätte, sondern unterbreitet dem Bundesgericht in unzulässiger Weise seine eigene Sicht der Dinge. Insbesondere geht er mit keinem Wort auf die vorinstanzliche Begründung ein, wonach er sich mit der vom Regionalgericht verneinten Aktivlegitimation unzureichend auseinandergesetzt habe. Die Eingaben des Beschwerdeführers vom 28. August und 12. September 2022 erfüllen die gesetzlichen Begründungsanforderungen daher offensichtlich nicht.</w:t>
      </w:r>
    </w:p>
    <w:p>
      <w:r>
        <w:t>Auf die Beschwerde ist somit mangels hinreichender Begründung nicht einzutreten ( Art. 108 Abs. 1 lit. b BGG ).</w:t>
      </w:r>
    </w:p>
    <w:p>
      <w:r>
        <w:rPr>
          <w:b/>
        </w:rPr>
        <w:t>E. 4</w:t>
      </w:r>
    </w:p>
    <w:p>
      <w:r>
        <w:t>Das sinngemässe Gesuch um unentgeltliche Rechtspflege für das bundesgerichtliche Verfahren ist bereits wegen Aussichtslosigkeit der Beschwerde abzuweisen ( Art. 64 Abs. 1 BGG ).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