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350/2019 vom 9. Januar 2020</w:t>
      </w:r>
    </w:p>
    <w:p>
      <w:r>
        <w:t>Bundesgericht, 2020-01-09, FR</w:t>
      </w:r>
    </w:p>
    <w:p>
      <w:r>
        <w:rPr>
          <w:b/>
        </w:rPr>
        <w:t xml:space="preserve">Quelle: </w:t>
      </w:r>
      <w:r>
        <w:t>https://mcp.opencaselaw.ch/entscheid/bger_4A_350_2019</w:t>
      </w:r>
    </w:p>
    <w:p>
      <w:r>
        <w:t>FR: TF 4A 350/2019 du 9 janvier 2020</w:t>
      </w:r>
    </w:p>
    <w:p>
      <w:r>
        <w:t>IT: TF 4A 350/2019 del 9 gennaio 2020</w:t>
      </w:r>
    </w:p>
    <w:p>
      <w:pPr>
        <w:pStyle w:val="Heading2"/>
      </w:pPr>
      <w:r>
        <w:t>Regeste</w:t>
      </w:r>
    </w:p>
    <w:p>
      <w:r>
        <w:t>responsabilité de l'avocat (art. 398 al. 2 CO), rapport de causalité | Droit des contrats</w:t>
      </w:r>
    </w:p>
    <w:p>
      <w:pPr>
        <w:pStyle w:val="Heading2"/>
      </w:pPr>
      <w:r>
        <w:t>Erwägungen</w:t>
      </w:r>
    </w:p>
    <w:p>
      <w:r>
        <w:rPr>
          <w:b/>
        </w:rPr>
        <w:t>E. 1</w:t>
      </w:r>
    </w:p>
    <w:p>
      <w:r>
        <w:t>Interjeté en temps utile ( art. 100 al. 1 LTF ), par la partie défenderesse qui a succombé dans ses conclusions libératoires ( art. 76 al. 1 LTF ), contre une décision finale ( art. 90 LTF ), prise sur appel par le tribunal supérieur du canton de Genève ( art. 75 LTF ) dans une affaire portant sur la responsabilité d'un avocat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Lorsqu'un fait a été omis et qu'il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Est litigieuse l'activité de l'avocat en relation avec l'avenant ayant pour objet les immeubles situés en Italie. L'avocat n'a pas soumis cet avenant au juge suisse du divorce. La cliente demanderesse lui reproche de ne pas l'avoir renseignée sur les risques présentés par un avenant non contraignant. Il a en effet été retenu, ce qui n'est pas contesté, que désormais elle ne peut plus obtenir la pleine propriété de ces immeubles italiens, que ce soit par une procédure en Italie ou par une procédure en complément du jugement de divorce en Suisse.</w:t>
      </w:r>
    </w:p>
    <w:p>
      <w:r>
        <w:rPr>
          <w:b/>
        </w:rPr>
        <w:t>E. 3.1</w:t>
      </w:r>
    </w:p>
    <w:p>
      <w:r>
        <w:t>En vertu de l' art. 398 al. 1 CO , qui renvoie à l' art. 321e al. 1 CO , l'avocat mandataire répond du dommage qu'il cause au mandant intentionnellement ou par négligence. Sa responsabilité est donc subordonnée aux quatre conditions suivantes, conformément au régime général de l' art. 97 CO (arrêts 4A_175/2018 du 19 novembre 2018 consid.4; 4A_588/2011 du 3 mai 2012 consid. 2.2.2)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Le client mandant supporte le fardeau de l'allégation objectif ( objektive Behauptungslast ) et le fardeau de la preuve ( Beweislast ) des trois premières conditions conformément à l' art. 8 CC (arrêts 4A_175/2018 précité consid.4.1; 4A_588/2011 précité consid. 2.2.2); il incombe en revanche à l'avocat mandataire de prouver qu'aucune faute ne lui est imputable (" à moins qu'il ne prouve... ").</w:t>
      </w:r>
    </w:p>
    <w:p>
      <w:r>
        <w:rPr>
          <w:b/>
        </w:rPr>
        <w:t>E. 3.2</w:t>
      </w:r>
    </w:p>
    <w:p>
      <w:r>
        <w:t>En ce qui concerne le rapport de causalité, l'acte ou l'omission (fautif) doit être en relation de causalité naturelle et adéquate avec le dommage. Il y a causalité naturelle entre deux événements lorsque, sans le premier, le second ne se serait pas produit.</w:t>
      </w:r>
    </w:p>
    <w:p>
      <w:r>
        <w:rPr>
          <w:b/>
        </w:rPr>
        <w:t>E. 3.2.1</w:t>
      </w:r>
    </w:p>
    <w:p>
      <w:r>
        <w:t>Lorsque le manquement reproché au mandataire (défendeur) est lié à une action, le rapport de causalité naturelle existe dès que l'acte commis a entraîné le dommage. Si le mandant (demandeur) parvient à établir ce lien, le défendeur peut soulever l'objection fondée sur le "comportement de substitution licite"; il lui appartient d'alléguer et de prouver que le dommage aurait été causé même s'il avait agi conformément au droit; s'il y parvient, la causalité est dite dépassée et sa responsabilité n'est pas engagée ( ATF 131 III 115 consid. 3.1 p. 119 et les arrêts cités; FRANZ WERRO, La responsabilité civile, 3e éd. 2017, p. 75 n. 238). Ainsi, lorsque, en violation de ses obligations (absence de consentement éclairé du patient), un médecin a accompli un acte chirurgical dont l'échec cause un préjudice au patient, il lui incombe, s'il entend s'exonérer de sa responsabilité, d'alléguer et de prouver que le patient, s'il avait été dûment informé et consulté, aurait donné son accord au traitement considéré (consentement hypothétique; ATF 108 II 59 consid. 3 p. 64).</w:t>
      </w:r>
    </w:p>
    <w:p>
      <w:r>
        <w:rPr>
          <w:b/>
        </w:rPr>
        <w:t>E. 3.2.2</w:t>
      </w:r>
    </w:p>
    <w:p>
      <w:r>
        <w:t>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 ATF 122 III 229 consid. 5a/aa p. 234; arrêt 4A_175/2018 du 19 novembre 2018 consid. 4.1.2).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 (ERNST A. KRAMER, Die Kausalität im Haftpflichtrecht : neue Tendenzen in Theorie und Praxis, RSJB 1987 p. 295 s.; FRANZ WERRO, L'objection du comportement de substitution licite, in Les causes du dommage, Chappuis/Winniger [éd.], 2007, p. 60; BERNHARD STUDHALTER, Die Berufung des präsumtiven Haftpflichtigen auf hypothetische Kausalverläufe, 1995, p. 185 s.; SUMMERMATTER, op. cit., n. 512 p. 283 et les références citées).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 ATF 132 III 715 consid. 3.2 p. 720; 115 II 440 consid. 5a et les arrêts cités). En règle générale, lorsque le lien de causalité hypothétique entre l'omission et le dommage est établi, il ne se justifie pas de soumettre cette constatation à un nouvel examen sur la nature adéquate de la causalité ( ATF 105 II 440 consid. 5a p. 447 s.).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arrêts cités; arrêt 4A_175/2018 déjà cité consid. 4.1.2).</w:t>
      </w:r>
    </w:p>
    <w:p>
      <w:r>
        <w:rPr>
          <w:b/>
        </w:rPr>
        <w:t>E. 3.3</w:t>
      </w:r>
    </w:p>
    <w:p>
      <w:r>
        <w:t>En l'espèce, l'avocat défendeur ne conteste plus devant le Tribunal fédéral avoir violé fautivement ses obligations contractuelles, de sorte que ces deux conditions de sa responsabilité contractuelle sont réalisées. En ce qui concerne le rapport de causalité, la cour cantonale relève que le comportement reproché à l'avocat consiste en une action et une omission: l'avocat a rédigé un avenant dépourvu de force juridique et il n'a pas donné à la cliente un conseil utile qui lui aurait permis de prendre une décision éclairée. Sans se référer spécifiquement à ces comportements, l'autorité précédente retient que la causalité naturelle est établie du (seul) fait que l'ex-épouse n'a pas pu obtenir le transfert de la part de copropriété de son ex-mari en raison du caractère inexécutable de l'avenant. Elle ajoute que l'avocat (défendeur) n'a pas apporté la preuve d'un comportement de substitution licite, car " il existe une possibilité sérieuse que [l'ex-épouse] ait pu obtenir la pleine propriété des biens immobiliers situés en Italie si les conseils donnés par [son avocat] avaient été conformes à ceux d'un avocat diligent ". Si l'autorité précédente affirme (ou à tout le moins évoque) que le manquement de l'avocat consiste aussi bien en une action qu'en une omission, seule cette dernière a en réalité joué un rôle décisif en l'espèce. Force est en effet de constater que, si l'avocat a remis à la cliente un avenant non contraignant, c'est parce que les parties ont elles-mêmes exigé qu'il ne le produise pas (pour des raisons fiscales) dans le cadre de la procédure de divorce. Cela étant, seule l'omission (soit l'absence de mise en garde de l'avocat quant aux risques que sa cliente, qui n'avait en mains qu'un avenant non contraignant, encourrait de ce chef) a empêché la cliente de décider en toute connaissance de cause de produire (ou de renoncer à produire) l'avenant dans le cadre de la procédure de divorce. Comme on l'a vu, l'exigence de la causalité naturelle en cas d'omission consomme l'objection fondée sur le comportement de substitution licite et il est donc exclu que celle-ci puisse être soulevée par le défendeur. C'est donc à raison que le recourant reproche à la cour cantonale d'avoir examiné la question du comportement de substitution licite, qui ne se posait pas en l'espèce, et de n'avoir pas du tout examiné le rapport de causalité naturelle et, partant, d'avoir violé l' art. 97 al. 1 CO . Le recours doit donc être admis pour ce motif.</w:t>
      </w:r>
    </w:p>
    <w:p>
      <w:r>
        <w:rPr>
          <w:b/>
        </w:rPr>
        <w:t>E. 4</w:t>
      </w:r>
    </w:p>
    <w:p>
      <w:r>
        <w:t>Il y a lieu désormais d'examiner si le Tribunal fédéral peut statuer à nouveau, sur la base des faits constatés, ou s'il doit renvoyer la cause à la cour cantonale.</w:t>
      </w:r>
    </w:p>
    <w:p>
      <w:r>
        <w:rPr>
          <w:b/>
        </w:rPr>
        <w:t>E. 4.1</w:t>
      </w:r>
    </w:p>
    <w:p>
      <w:r>
        <w:t>Selon l' art. 111 CC , dans sa teneur en vigueur au jour du dépôt de la requête commune de divorce le 16 février 2001, lorsque les époux demandent le divorce par requête commune et produisent une convention complète sur les effets de leur divorce..., le juge entend les époux séparément et ensemble et il s'assure que c'est après mûre réflexion et de leur plein gré qu'ils ont déposé leur requête et conclu une convention susceptible d'être ratifiée (al. 1); il prononce le divorce et ratifie la convention lorsque, après l'expiration d'un délai de réflexion de deux mois à compter de l'audition, les époux confirment par écrit leur volonté de divorcer et les termes de leur convention (al. 2). Selon la jurisprudence, une telle convention - complète (art. 111 aCC) ou partielle (art. 112 aCC) - produite avec une requête commune de divorce est librement révocable jusqu'à la (dernière) audition (art. 11 al. 3 aCC) devant le juge ( ATF 135 III 193 consid. 2.4). L'absence de confirmation d'une convention produite avec la requête commune de divorce équivaut à une révocation, le juge devant alors impartir à chaque époux un délai pour déposer une demande unilatérale de divorce (art. 113 aCC) (arrêts 5A_644/2009 du 14 avril 2010 consid. 2.4; 5C.270/2004 du 14 juillet 2005 consid. 3.1), procédure dans laquelle le juge procédera à la liquidation du régime matrimonial ( art. 120 CC ). C'est uniquement dans les cas de divorce sur demande unilatérale que les époux sont déjà liés par la convention sur les effets accessoires dès sa conclusion et avant la ratification par le juge ( ATF 135 III 193 consid. 2.4).</w:t>
      </w:r>
    </w:p>
    <w:p>
      <w:r>
        <w:rPr>
          <w:b/>
        </w:rPr>
        <w:t>E. 4.2</w:t>
      </w:r>
    </w:p>
    <w:p>
      <w:r>
        <w:t>En l'espèce, dès lors que les époux ont introduit une requête commune de divorce, tant la convention du 12 février 2001 que l'avenant liquidant le sort des immeubles italiens étaient librement révocables. Cela signifie que le mari pouvait librement refuser de le confirmer au juge saisi de la requête commune. Par conséquent, l'omission de l'avocat d'informer sa cliente que l'avenant signé n'avait pas d'effet contraignant ne suffit pas à elle seule pour admettre la causalité avec le dommage. Pour établir ce rapport de causalité, la demanderesse aurait encore dû alléguer et prouver, soit que son mari aurait confirmé son accord avec cet avenant après le délai de réflexion de deux mois et que le juge l'aurait homologué dans le cadre de la procédure sur requête commune, soit encore, à défaut, qu'elle aurait pu obtenir l'immeuble de D.________ et les immeubles situés en Italie dans le cadre de la liquidation judiciaire du régime matrimonial, parce qu'elle aurait eu droit à un montant correspondant à la valeur de l'immeuble de D.________ et des immeubles en Italie dans la liquidation du régime matrimonial. La cour cantonale retient certes que l'épouse soutient de façon convaincante qu'elle pouvait consentir à des concessions pour obtenir les immeubles situés en Italie, avant de conclure qu'il existait une possibilité sérieuse qu'elle ait pu obtenir la pleine propriété des biens immobiliers situés en Italie. Toutefois, la cour cantonale le fait uniquement pour mettre le fardeau de la preuve d'un comportement de substitution licite à la charge de l'avocat défendeur, ce qui comme on l'a vu est contraire au droit fédéral. On ne peut donc pas simplement renverser cette appréciation en faveur de la demanderesse. D'ailleurs, à cet égard, comme le relève à juste titre le recourant, la cour cantonale se contente de suppositions et lui reproche arbitrairement de ne pas fournir " d'explication concrète " et de plaider inutilement qu'il n'avait " aucune connaissance de la situation patrimoniale globale des parties ". Force est d'admettre que, pour établir le rapport de causalité, la demanderesse ne peut pas simplement affirmer que, sur les 16 biens immobiliers, son époux en aurait obtenu 14, alors qu'elle-même n'en aurait obtenu que deux (les immeubles en Italie comptant pour 1 immeuble), alors que l'on n'en connaît ni les valeurs, ni les dettes qui les grèvent. Dans la mesure où la preuve de la valeur des immeubles en propriété ou copropriété des époux et " appartenant à la masse matrimoniale des acquêts " peut être apportée facilement, notamment par expertise, la supposition globale invoquée par la demanderesse ne suffit pas. Le Tribunal de première instance avait d'ailleurs nié le rapport de causalité " compte tenu de la possibilité d'une procédure unilatérale en divorce à l'issue incertaine ". Dans sa réponse au présent recours, la demanderesse intimée ne requiert pas que l'état de fait soit complété sur ces points, en indiquant précisément, comme l'exige la jurisprudence, les allégués et les offres de preuves qu'elle aurait présentés (avec référence aux pièces du dossier) en temps utile conformément aux règles du CPC (cf. supra consid. 2.1 in fine ). Ainsi, le rapport de causalité n'est pas démontré, faute d'allégation et de preuve par la demanderesse de l'issue d'une liquidation du régime matrimonial contentieuse. Il n'y a donc pas lieu d'examiner les autres griefs soulevés par le recourant. En conséquence, le Tribunal fédéral est en mesure de statuer lui-même et il doit rejeter la demande. Il n'en demeure pas moins que l'ex-épouse demeure copropriétaire des immeubles italiens.</w:t>
      </w:r>
    </w:p>
    <w:p>
      <w:r>
        <w:rPr>
          <w:b/>
        </w:rPr>
        <w:t>E. 5</w:t>
      </w:r>
    </w:p>
    <w:p>
      <w:r>
        <w:t>Il s'ensuit que le recours doit être admis et l'arrêt attaqué réformé en ce sens que la demande en paiement de la demanderesse est rejetée. Les frais de la procédure fédérale et les dépens doivent être mis à la charge de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