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4A_349/2024 vom 16. Juli 2024</w:t>
      </w:r>
    </w:p>
    <w:p>
      <w:r>
        <w:t>Bundesgericht, 2024-07-16, DE</w:t>
      </w:r>
    </w:p>
    <w:p>
      <w:r>
        <w:rPr>
          <w:b/>
        </w:rPr>
        <w:t xml:space="preserve">Quelle: </w:t>
      </w:r>
      <w:r>
        <w:t>https://mcp.opencaselaw.ch/entscheid/bger_4A_349_2024</w:t>
      </w:r>
    </w:p>
    <w:p>
      <w:r>
        <w:t>FR: TF 4A_349/2024 du 16 juillet 2024</w:t>
      </w:r>
    </w:p>
    <w:p>
      <w:r>
        <w:t>IT: TF 4A_349/2024 del 16 luglio 2024</w:t>
      </w:r>
    </w:p>
    <w:p>
      <w:pPr>
        <w:pStyle w:val="Heading2"/>
      </w:pPr>
      <w:r>
        <w:t>Erwägungen</w:t>
      </w:r>
    </w:p>
    <w:p>
      <w:r>
        <w:rPr>
          <w:b/>
        </w:rPr>
        <w:t>E. 1</w:t>
      </w:r>
    </w:p>
    <w:p>
      <w:r>
        <w:t>In einem von der Beschwerdeführerin gegen den Beschwerdegegner eingeleiteten Zivilprozess beantragte Letzterer dem Bezirksgericht Zürich um Erlass vorsorglicher Massnahmen. Mit Beschluss vom 2. Mai 2024 befahl das Bezirksgericht der Beschwerdeführerin vorsorglich, zwei im Entscheid aufgeführte Uhren samt Originalzubehör innert einer Frist von 14 Tagen beim Bezirksgericht zu hinterlegen. Mit Beschluss vom 12. Juni 2024 trat das Obergericht des Kantons Zürich auf eine von der Beschwerdeführerin gegen den bezirksgerichtlichen Entscheid vom 2. Mai 2024 erhobene Beschwerde infolge unzureichender Begründung des Rechtsmittels nicht ein. Mit Eingabe vom 17. Juni 2024 erklärte die Beschwerdeführerin dem Bundesgericht, den Beschluss des Obergerichts des Kantons Zürich vom 12. Juni 2024 mit Beschwerde anfechten zu wollen. Am 21. und 24. Juni 2024 reichte die Beschwerdeführerin dem Bundesgericht weitere Eingaben ein. Mit Verfügung vom 21. Juni 2024 wurde das Gesuch der Beschwerdeführerin um Gewährung der aufschiebenden Wirkung bzw. um Anordnung vorsorglicher Massnahmen abgewiesen. Es wurden keine Vernehmlassungen eingeholt.</w:t>
      </w:r>
    </w:p>
    <w:p>
      <w:r>
        <w:rPr>
          <w:b/>
        </w:rPr>
        <w:t>E. 2</w:t>
      </w:r>
    </w:p>
    <w:p>
      <w:r>
        <w:t>Die Beschwerdeführerin hat ihre Beschwerde in französischer Sprache eingereicht. Gemäss Art. 54 Abs. 1 BGG wird das bundesgerichtliche Verfahren in der Regel in der Sprache des angefochtenen Entscheids geführt, weshalb das Urteil des Bundesgerichts vorliegend in deutscher Sprache ergeht.</w:t>
      </w:r>
    </w:p>
    <w:p>
      <w:r>
        <w:rPr>
          <w:b/>
        </w:rPr>
        <w:t>E. 3</w:t>
      </w:r>
    </w:p>
    <w:p>
      <w:r>
        <w:t>Das Bundesgericht prüft von Amtes wegen und mit freier Kognition, ob ein Rechtsmittel zulässig ist ( Art. 29 Abs. 1 BGG ; BGE 149 III 277 E. 3.1; 148 IV 155 E. 1.1; 143 III 140 E. 1).</w:t>
      </w:r>
    </w:p>
    <w:p>
      <w:r>
        <w:rPr>
          <w:b/>
        </w:rPr>
        <w:t>E. 3.1</w:t>
      </w:r>
    </w:p>
    <w:p>
      <w:r>
        <w:t>Die Beschwerde an das Bundesgericht ist nur gegen Entscheide letzter kantonaler Instanzen zulässig ( Art. 75 Abs. 1 BGG ). Auf die Beschwerde kann daher von vornherein nicht eingetreten werden, soweit sie sich unmittelbar gegen den Beschluss des Bezirksgerichts Zürich vom 2. Mai 2024 richtet, da es sich dabei nicht um einen letztinstanzlichen Entscheid im Sinne von Art. 75 Abs. 1 BGG handelt.</w:t>
      </w:r>
    </w:p>
    <w:p>
      <w:r>
        <w:rPr>
          <w:b/>
        </w:rPr>
        <w:t>E. 3.2</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 vorliegend strittigen vorsorglichen Massnahmen wurden im Rahmen eines Hauptverfahrens erlassen. Es handelt sich daher beim angefochtenen Entscheid des Obergerichts des Kantons Zürich vom 12. Juni 2024 um einen Zwischenentscheid im Sinne von Art. 93 BGG .</w:t>
      </w:r>
    </w:p>
    <w:p>
      <w:r>
        <w:rPr>
          <w:b/>
        </w:rPr>
        <w:t>E. 3.3</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3.4</w:t>
      </w:r>
    </w:p>
    <w:p>
      <w:r>
        <w:t>Die Beschwerdeführerin vermag keinen Nachteil rechtlicher Natur im Sinne von Art. 93 Abs. 1 lit. a BGG aufzuzeigen, der auch durch einen für sie günstigen Entscheid in der Zukunft nicht mehr behoben werden könnte (die Ausnahme von Art. 93 Abs. 1 lit. b BGG fällt ausser Betracht). Die Eintretensvoraussetzungen sind daher offensichtlich nicht erfüllt. Abgesehen davon zeigt die Beschwerdeführerin nicht hinreichend auf, inwiefern die Vorinstanz mit ihrem Nichteintretensentscheid verfassungsmässige Rechte verletzt hätte ( Art. 98 BGG ). Auf die Beschwerde ist daher im vereinfachten Verfahren nach Art. 108 Abs. 1 lit. a und b BGG nicht einzutreten.</w:t>
      </w:r>
    </w:p>
    <w:p>
      <w:r>
        <w:rPr>
          <w:b/>
        </w:rPr>
        <w:t>E. 4</w:t>
      </w:r>
    </w:p>
    <w:p>
      <w:r>
        <w:t>Die Beschwerdeführerin wird bei diesem Verfahrensausgang kostenpflichtig ( Art. 66 Abs. 1 BGG ). Dem Beschwerdegegner steht keine Parteientschädigung zu,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