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4A_349/2019 vom 12. Juli 2019</w:t>
      </w:r>
    </w:p>
    <w:p>
      <w:r>
        <w:t>Bundesgericht, 2019-07-12, FR</w:t>
      </w:r>
    </w:p>
    <w:p>
      <w:r>
        <w:rPr>
          <w:b/>
        </w:rPr>
        <w:t xml:space="preserve">Quelle: </w:t>
      </w:r>
      <w:r>
        <w:t>https://mcp.opencaselaw.ch/entscheid/bger_4A_349_2019</w:t>
      </w:r>
    </w:p>
    <w:p>
      <w:r>
        <w:t>FR: TF 4A_349/2019 du 12 juillet 2019</w:t>
      </w:r>
    </w:p>
    <w:p>
      <w:r>
        <w:t>IT: TF 4A_349/2019 del 12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4A_349/2019</w:t>
      </w:r>
    </w:p>
    <w:p>
      <w:r>
        <w:t>Arrêt du 12 juillet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 SA,</w:t>
      </w:r>
    </w:p>
    <w:p>
      <w:r>
        <w:t>représentée par Me Albert Graf,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représentée par Me Nicolas Saviaux,</w:t>
      </w:r>
    </w:p>
    <w:p>
      <w:r>
        <w:t>demanderesse et intimée.</w:t>
      </w:r>
    </w:p>
    <w:p>
      <w:r>
        <w:t>Objet</w:t>
      </w:r>
    </w:p>
    <w:p>
      <w:r>
        <w:t>contestation pécuniaire</w:t>
      </w:r>
    </w:p>
    <w:p>
      <w:r>
        <w:t>recours contre l'arrêt rendu le 21 mai 2019 par la Cour d'appel civile du Tribunal cantonal du canton de Vaud (PT16.049431-181618, 304).</w:t>
      </w:r>
    </w:p>
    <w:p>
      <w:r>
        <w:t>Considérant :</w:t>
      </w:r>
    </w:p>
    <w:p>
      <w:r>
        <w:t>Que le Tribunal cantonal du canton de Vaud a statué le 21 mai 2019 dans une contestation opposant la demanderesse Z.________ à la défenderesse X.________ SA;</w:t>
      </w:r>
    </w:p>
    <w:p>
      <w:r>
        <w:t>Que la défenderesse exerce le recours en matière civile auprès du Tribunal fédéral;</w:t>
      </w:r>
    </w:p>
    <w:p>
      <w:r>
        <w:t>Qu'elle devait agir dans le délai de trente jours prévu par l'art. 100 al. 1 de la loi fédérale sur le Tribunal fédéral (LTF);</w:t>
      </w:r>
    </w:p>
    <w:p>
      <w:r>
        <w:t>Que son mandataire a reçu communication de l'arrêt le 7 juin 2019;</w:t>
      </w:r>
    </w:p>
    <w:p>
      <w:r>
        <w:t>Que selon l' art. 44 al. 1 LTF , le délai s'est écoulé dès le lendemain de cette communication;</w:t>
      </w:r>
    </w:p>
    <w:p>
      <w:r>
        <w:t>Que compte tenu du report de l'échéance prévu par l' art. 45 al. 1 LTF , le délai est échu le lundi 8 juillet 2019;</w:t>
      </w:r>
    </w:p>
    <w:p>
      <w:r>
        <w:t>Que selon l' art. 48 al. 1 LTF , l'acte de recours devait être remis au Tribunal fédéral ou, à son adresse, à un office postal suisse au plus tard le jour de l'échéance;</w:t>
      </w:r>
    </w:p>
    <w:p>
      <w:r>
        <w:t>Que l'acte de recours a été envoyé au Tribunal fédéral par la poste;</w:t>
      </w:r>
    </w:p>
    <w:p>
      <w:r>
        <w:t>Que d'après le sceau apposé sur l'envoi, celui-ci n'a été remis à la poste que le mardi 9 juillet;</w:t>
      </w:r>
    </w:p>
    <w:p>
      <w:r>
        <w:t>Que la même date de dépôt ressort du suivi des envois accessible sur le site internet de la poste;</w:t>
      </w:r>
    </w:p>
    <w:p>
      <w:r>
        <w:t>Que la preuve des faits dont dépend la recevabilité d'un recours doit être apportée par la partie recourante, si ces faits ne sont pas d'emblée reconnaissables ( ATF 145 I 121 consid. 1 p. 124);</w:t>
      </w:r>
    </w:p>
    <w:p>
      <w:r>
        <w:t>Que d'après une assertion présente dans l'acte de recours, celui-ci a été déposé « ce jour », c'est-à-dire le lundi 8 juillet;</w:t>
      </w:r>
    </w:p>
    <w:p>
      <w:r>
        <w:t>Que cette assertion n'est accompagnée d'aucune preuve;</w:t>
      </w:r>
    </w:p>
    <w:p>
      <w:r>
        <w:t>Que le recours se révèle en conséquence tardif;</w:t>
      </w:r>
    </w:p>
    <w:p>
      <w:r>
        <w:t>Que son auteur doit acquitter l'émolument à prélever par le Tribunal fédéral.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défenderesse acquittera un émolument judiciaire de 500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12 juillet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