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4A_349/2017 vom 23. Januar 2018</w:t>
      </w:r>
    </w:p>
    <w:p>
      <w:r>
        <w:t>Bundesgericht, 2018-01-23, DE</w:t>
      </w:r>
    </w:p>
    <w:p>
      <w:r>
        <w:rPr>
          <w:b/>
        </w:rPr>
        <w:t xml:space="preserve">Quelle: </w:t>
      </w:r>
      <w:r>
        <w:t>https://mcp.opencaselaw.ch/entscheid/bger_4A_349_2017</w:t>
      </w:r>
    </w:p>
    <w:p>
      <w:r>
        <w:t>FR: TF 4A_349/2017 du 23 janvier 2018</w:t>
      </w:r>
    </w:p>
    <w:p>
      <w:r>
        <w:t>IT: TF 4A_349/2017 del 23 gennaio 2018</w:t>
      </w:r>
    </w:p>
    <w:p>
      <w:pPr>
        <w:pStyle w:val="Heading2"/>
      </w:pPr>
      <w:r>
        <w:t>Erwägungen</w:t>
      </w:r>
    </w:p>
    <w:p>
      <w:r>
        <w:rPr>
          <w:b/>
        </w:rPr>
        <w:t>E. 1</w:t>
      </w:r>
    </w:p>
    <w:p>
      <w:r>
        <w:t>Das Bundesgericht prüft von Amtes wegen und mit freier Kognition, ob ein Rechtsmittel zulässig ist ( Art. 29 Abs. 1 BGG ; BGE 141 III 395 E. 2.1 mit Hinweisen).</w:t>
      </w:r>
    </w:p>
    <w:p>
      <w:r>
        <w:t>Die Beschwerde richtet sich gegen einen verfahrensabschliessenden Entscheid ( Art. 90 BGG ) einer letzten kantonalen Instanz, die in einer Zivilsache entschieden hat ( Art. 72 Abs. 1 und Art. 75 Abs. 1 BGG ) sowie gegen zwei Zwischenentscheide im Sinne von Art. 93 BGG , die zusammen mit dem Endentscheid anfechtbar sind, soweit sie sich auf dessen Inhalt auswirken ( Art. 93 Abs. 3 BGG ).</w:t>
      </w:r>
    </w:p>
    <w:p>
      <w:r>
        <w:t>Die Streitwertgrenze für die Beschwerde in Zivilsachen ist erreicht (Art. 74 Abs. 1 lit. b i.V.m. Art. 51 Abs. 1 lit. a BGG ). Die Rechtsbegehren der Beschwerdeführerin sind im kantonalen Verfahren nicht geschützt worden ( Art. 76 Abs. 1 BGG ) und die Beschwerde erging fristgerecht ( Art. 100 Abs. 1 BGG ). Auf die Beschwerde in Zivilsachen ist somit einzutreten.</w:t>
      </w:r>
    </w:p>
    <w:p>
      <w:r>
        <w:rPr>
          <w:b/>
        </w:rPr>
        <w:t>E. 2</w:t>
      </w:r>
    </w:p>
    <w:p>
      <w:r>
        <w:t>Die Beschwerdeführerin rügt eine unvollständige und damit unrichtige Sachverhaltsfeststellung sowie eine Verletzung des Beweisanspruches nach Art. 152 Abs. 1 ZPO bzw. nach der damals geltenden ZPO des Kantons Thurgau, weil die Vorinstanz über die durch die Verwaltungsräte E.________, J.________ und K.________ mehrfach ausgesprochenen mündlichen Weisungen, die Logoänderung sei zu unterlassen, nie Beweis abgenommen habe. Sollte sich der angefochtene Entscheid ausgehend vom festgestellten Sachverhalt der Vorinstanz als rechtsfehlerhaft erweisen, erübrigt es sich, auf die Sachverhaltsrügen einzugehen.</w:t>
      </w:r>
    </w:p>
    <w:p>
      <w:r>
        <w:rPr>
          <w:b/>
        </w:rPr>
        <w:t>E. 3</w:t>
      </w:r>
    </w:p>
    <w:p>
      <w:r>
        <w:t>Die Beschwerdeführerin rügt, die Vorinstanz habe Art. 716a OR verletzt, indem sie die vom Beschwerdegegner eigenständig vorgenommene Logoänderung nicht als unübertragbare Aufgabe des gesamten Verwaltungsrates betrachtete.</w:t>
      </w:r>
    </w:p>
    <w:p>
      <w:r>
        <w:rPr>
          <w:b/>
        </w:rPr>
        <w:t>E. 3.1</w:t>
      </w:r>
    </w:p>
    <w:p>
      <w:r>
        <w:t>Dem Verwaltungsrat steht als unübertragbare und unentziehbare Aufgabe die Oberleitung der Gesellschaft zu ( Art. 716a Abs. 1 Ziff. 1 OR ). Bei der Oberleitung handelt es sich um eine mittel- und langfristige Planung der Unternehmensstrategie. Die Führung der Gesellschaft als Ganzes ist von der Führung einzelner Geschäfte der Gesellschaft abzugrenzen, welche aufgrund ihrer operativen Natur nach Art. 716b OR an einzelne Mitglieder übertragen werden können (ausführlich hierzu KATJA ROTH PELLANDA, Organisation des Verwaltungsrates, 2007, S. 225 ff. mit zahlreichen Hinweisen; vgl. auch PETER BÖCKLI, Schweizer Aktienrecht, 4. Auflage 2009, § 13 RZ. 306 f.; ROLF WATTER/KATJA ROTH PELLANDA, in: Basler Kommentar, Obligationenrecht, 6. Aufl. 2015, N. 4 ff. zu Art. 716a OR ; ERIC HOMBURGER, Zürcher Kommentar, Obligationenrecht, 1997, N. 532 zu Art. 716a OR ).</w:t>
      </w:r>
    </w:p>
    <w:p>
      <w:r>
        <w:rPr>
          <w:b/>
        </w:rPr>
        <w:t>E. 3.2</w:t>
      </w:r>
    </w:p>
    <w:p>
      <w:r>
        <w:t>Eine Logoänderung zieht erhebliche Auswirkungen nach sich und ist mit beträchtlichen Kosten verbunden. Wie der Beschwerdegegner selbst eingesteht, ist das Logo einer Gesellschaft denn auch Teil ihrer Corporate Identity. Der Vorinstanz ist insoweit zu folgen, als sie ausführt, das Logo betreffe nicht alle Aspekte der Corporate Identity. Entgegen ihrer Ansicht beschlägt es indessen keinen untergeordneten, sondern einen wesentlichen Teil der Corporate Identity; tritt eine Gesellschaft doch unter diesem Zeichen im Verkehr gegen innen und aussen auf. Sie wird unter diesem Zeichen von den Personen, mit denen sie in Kontakt tritt, wahrgenommen und identifiziert. Die Gestaltung ihres identifizierenden Zeichens betrifft denn auch die Gesellschaft als Ganzes. Der Entscheid bezüglich Änderung des Logos stellt keine bloss operative Geschäftsführungsaufgabe dar, welche an den Beschwerdegegner hätte übertragen werden können (vgl. Art. 716b OR ). Es handelt sich vielmehr um einen strategischen Unternehmensentscheid, der unter die Oberleitung der Gesellschaft im Sinne von Art. 716a Abs. 1 Ziff. 1 OR fällt und dem Gesamtverwaltungsrat nicht entzogen werden kann.</w:t>
      </w:r>
    </w:p>
    <w:p>
      <w:r>
        <w:rPr>
          <w:b/>
        </w:rPr>
        <w:t>E. 3.3</w:t>
      </w:r>
    </w:p>
    <w:p>
      <w:r>
        <w:t>Entgegen der Ansicht der Vorinstanz stand es dem gesamten Verwaltungsrat als zuständiges Organ zu, die Art des Auftretens der Gesellschaft zu bestimmen. Dieses Organ (und weder der Beschwerdegegner noch die Vorinstanz) ist kompetent darüber zu befinden, ob ein Wechsel des Logos wirtschaftlich begründet erscheint. Der Beschwerdegegner als ein Mitglied des Verwaltungsrats der Beschwerdeführerin - und sei es als deren Präsident - war nicht befugt, allein über die Logoänderung zu entscheiden. Es hätte an ihm gelegen, eine Sitzung einzuberufen ( Art. 715 OR ), sodass der Verwaltungsrat, dem im massgeblichen Zeitpunkt gemäss Handelsregisterauszug neben dem Beschwerdegegner und dem Konzerninhaber, K.________, J.________ und L.________ angehörten, darüber hätte abstimmen können.</w:t>
      </w:r>
    </w:p>
    <w:p>
      <w:r>
        <w:rPr>
          <w:b/>
        </w:rPr>
        <w:t>E. 3.4</w:t>
      </w:r>
    </w:p>
    <w:p>
      <w:r>
        <w:t>Der Vorinstanz kann auch nicht gefolgt werden, wenn sie annimmt, der Beschwerdegegner habe das Logo (in Missachtung der gesetzlichen Organkompetenzen) ändern können, weil er zum "Chef" der europäischen "Group I.________" ernannt worden war, zu der neben der Beschwerdeführerin noch zwei weitere Gesellschaften gehörten. Denn die Vorinstanz hält zusammengefasst fest, es gehe aus dem E-Mail-Verkehr mit dem Konzerninhaber hervor, dass dieser sich - zumindest einstweilen - ausdrücklich gegen die Änderung des Logos ausgesprochen hatte. Dass die Beschwerdeführerin in einen Konzern integriert ist, ändert daher nichts daran, dass der Beschwerdegegner ohne Beschluss des Gesamtverwaltungsrats nicht befugt war, ihr Logo zu ändern.</w:t>
      </w:r>
    </w:p>
    <w:p>
      <w:r>
        <w:rPr>
          <w:b/>
        </w:rPr>
        <w:t>E. 4</w:t>
      </w:r>
    </w:p>
    <w:p>
      <w:r>
        <w:t>Die Beschwerdeführerin rügt eine Verletzung von Art. 337 OR , weil die Vorinstanz die eigenmächtige Logoänderung des Beschwerdegegners nicht als einen wichtigen Grund betrachtete, der die fristlose Kündigung gerechtfertigt hätte.</w:t>
      </w:r>
    </w:p>
    <w:p>
      <w:r>
        <w:rPr>
          <w:b/>
        </w:rPr>
        <w:t>E. 4.1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 OR). Derartige Ermessensentscheide überprüft das Bundesgericht an sich frei. Es übt dabei aber Zurückhaltung und schreitet nur unter bestimmten Voraussetzungen ein; so wenn die Vorinstanz grundlos von in Lehre und Rechtsprechung anerkannten Grundsätzen abgewichen ist (vgl. BGE 130 III 28 E. 4.1 S. 32, 213 E. 3.1 S. 220; je mit Hinweisen). Indem die Vorinstanz den Beschwerdegegner als kompetent erachtete, alleine über die Logoänderung zu entscheiden, ist sie in Verletzung von Bundesrecht von in Lehre und Rechtsprechung anerkannten Grundsätzen abgewichen.</w:t>
      </w:r>
    </w:p>
    <w:p>
      <w:r>
        <w:rPr>
          <w:b/>
        </w:rPr>
        <w:t>E. 4.2</w:t>
      </w:r>
    </w:p>
    <w:p>
      <w:r>
        <w:t>Nach der Rechtsprechung zu Art. 337 OR ist eine fristlose Kündigung durch den Arbeitgeber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dazu geführt haben. Sind die Verfehlungen weniger schwerwiegend, müssen sie trotz Verwarnung wiederholt vorgekommen sein ( BGE 142 III 579 E. 4.2 S. 579; 130 III 28 E. 4.1 S. 31, 213 E. 3.1).</w:t>
      </w:r>
    </w:p>
    <w:p>
      <w:r>
        <w:t>Die Treuepflicht des Arbeitnehmers ( Art. 321a Abs. 1 OR ) gilt für leitende Angestellte in erhöhtem Masse, weshalb eine Verletzung dieser Pflicht durch solche Angestellte schwerer wiegt ( BGE 130 III 28 E. 4.1 S. 31; 127 III 86 E. 2c S. 89; 104 II 28 E. 1). Ob die dem Arbeitnehmer vorgeworfene Pflichtverletzung die erforderliche Schwere erreicht, lässt sich nicht allgemein sagen, sondern hängt von den konkreten Umständen des Einzelfalles ab ( BGE 142 III 579 E. 4.2 S. 580; 127 III 153 E. 1a S. 155; je mit Hinweisen).</w:t>
      </w:r>
    </w:p>
    <w:p>
      <w:r>
        <w:rPr>
          <w:b/>
        </w:rPr>
        <w:t>E. 4.3</w:t>
      </w:r>
    </w:p>
    <w:p>
      <w:r>
        <w:t>Der Beschwerdegegner war sowohl Verwaltungsratspräsident als auch Arbeitnehmer der Beschwerdeführerin und hatte somit einerseits die Treuepflicht als Organ, andererseits diejenige als Arbeitnehmer zu erfüllen ( BGE 140 III 409 E. 3.1 S. 412 mit Hinweisen; vgl. auch BGE 130 III 213 E. 2.1 S. 217; 128 III 129 E. 1a/aa S. 132 f.). Mit der eigenmächtigen Umsetzung der Logo-Änderung (Verwendung des neuen Logos auf einer Visitenkarte und auf einem Flyer) hat er sowohl seine organschaftlichen Kompetenzen überschritten als auch seine arbeitsvertraglichen Pflichten verletzt. Denn seine arbeitsvertraglichen Pflichten umfassten ohne Weiteres auch die Beachtung der gesetzlichen und statuarischen Vorgaben.</w:t>
      </w:r>
    </w:p>
    <w:p>
      <w:r>
        <w:t>Der Beschwerdegegner hat das Logo nicht nur geändert, ohne eine Sitzung einzuberufen ( Art. 715 OR ), um das formelle Einverständnis des Verwaltungsrates im Rahmen eines Mehrheitsbeschlusses ( Art. 713 OR ) einzuholen, sondern er hat das geradezu im Wissen um die im Verwaltungsrat vertretene mehrheitlich ablehnende Haltung getan. Damit verletzte er seine arbeitsvertragliche Treuepflicht auf objektiv schwerwiegende Art und Weise. Denn dass zumindest drei der vier übrigen Verwaltungsratsmitglieder der Beschwerdeführerin mit der Änderung des Logos nicht einverstanden waren, bemerkt der Beschwerdegegner in der Antwort selbst. Er legt dar, dass neben dem diesbezüglich ablehnend eingestellten E.________ als Konzerninhaber auch K.________ ihm gegenüber Bedenken geäussert habe und J.________ ihm geraten habe, das Logo nicht zu verwenden.</w:t>
      </w:r>
    </w:p>
    <w:p>
      <w:r>
        <w:rPr>
          <w:b/>
        </w:rPr>
        <w:t>E. 4.4</w:t>
      </w:r>
    </w:p>
    <w:p>
      <w:r>
        <w:t>Die Kompetenzüberschreitung kann entgegen der Ansicht der Vorinstanz nicht damit gerechtfertigt werden, dass der Beschwerdegegner von seiner Idee überzeugt war und diese als wirtschaftlich gerechtfertigt erachtete. Vielmehr wiegt die Pflichtverletzung umso schwerer, als der Beschwerdegegner, der offenbar Mühe mit der ablehnenden Haltung der anderen Entscheidungsträger hatte, die Logoänderung eigenständig im Wissen durchführte, dass nicht nur der Konzerninhaber, sondern die Mehrheit der Verwaltungsratsmitglieder der Beschwerdeführerin die Logoänderung ablehnten und kaum ihr Einverständnis in einer ordentlich einberufenen Sitzung erklärt hätten. Diese gravierende Verletzung der arbeitsvertraglichen Pflichten führte zum Verlust der erforderlichen Vertrauensgrundlage ( Art. 337 Abs. 2 OR ) und berechtigte die Beschwerdeführerin objektiv umso mehr zur fristlosen Vertragsauflösung, als der Beschwerdegegner in leitender Stellung eine erhöhte Vertrauensstellung innehatte. Die Vorinstanz hat den wichtigen Grund zur fristlosen Kündigung des Arbeitsverhältnisses durch die Beschwerdeführerin zu Unrecht verneint. Weil die Beschwerde bereits aus diesem Grund gutzuheissen ist, erübrigt es sich, die weiteren Vorwürfe (Markenrechtsverletzung und Vertragsschluss mit C.________) zu prüfen.</w:t>
      </w:r>
    </w:p>
    <w:p>
      <w:r>
        <w:rPr>
          <w:b/>
        </w:rPr>
        <w:t>E. 5</w:t>
      </w:r>
    </w:p>
    <w:p>
      <w:r>
        <w:t>Die Beschwerde ist gutzuheissen und die angefochtenen Entscheide der Vorinstanz sind aufzuheben. Da der Beschwerdegegner in der Beschwerdeantwort mit keinem Wort vorbringt, inwiefern ihm selbst bei gerechtfertigter ausserordentlicher Kündigung Entschädigungsansprüche gegenüber der Beschwerdeführerin zustehen würden ( Art. 42 Abs. 1 und 2 BGG ; BGE 140 III 115 E. 2 S. 116 mit Hinweis), ist seine Klage abzuweisen.</w:t>
      </w:r>
    </w:p>
    <w:p>
      <w:r>
        <w:t>Dem Ausgang des Verfahrens entsprechend wird der Beschwerdegegner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