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349/2009 vom 8. Oktober 2009</w:t>
      </w:r>
    </w:p>
    <w:p>
      <w:r>
        <w:t>Bundesgericht, 2009-10-08, FR</w:t>
      </w:r>
    </w:p>
    <w:p>
      <w:r>
        <w:rPr>
          <w:b/>
        </w:rPr>
        <w:t xml:space="preserve">Quelle: </w:t>
      </w:r>
      <w:r>
        <w:t>https://mcp.opencaselaw.ch/entscheid/bger_4A_349_2009</w:t>
      </w:r>
    </w:p>
    <w:p>
      <w:r>
        <w:t>FR: TF 4A 349/2009 du 8 octobre 2009</w:t>
      </w:r>
    </w:p>
    <w:p>
      <w:r>
        <w:t>IT: TF 4A 349/2009 del 8 ottobre 2009</w:t>
      </w:r>
    </w:p>
    <w:p>
      <w:pPr>
        <w:pStyle w:val="Heading2"/>
      </w:pPr>
      <w:r>
        <w:t>Regeste</w:t>
      </w:r>
    </w:p>
    <w:p>
      <w:r>
        <w:t>contrat de vente; contrat d'entreprise | Droit des contrats</w:t>
      </w:r>
    </w:p>
    <w:p>
      <w:pPr>
        <w:pStyle w:val="Heading2"/>
      </w:pPr>
      <w:r>
        <w:t>Erwägungen</w:t>
      </w:r>
    </w:p>
    <w:p>
      <w:r>
        <w:rPr>
          <w:b/>
        </w:rPr>
        <w:t>E. 1.1</w:t>
      </w:r>
    </w:p>
    <w:p>
      <w:r>
        <w:t>Interjeté par la recourante qui a succombé dans ses conclusions ( art. 76 al. 1 LTF ) et dirigé contre une décision finale ( art. 90 LTF ) rendue en matière civile ( art. 72 al. 1 LTF ) par une autorité cantonale de dernière instance ( art. 75 al. 1 LTF ) dans une affaire dont la valeur litigieuse atteint le seuil de 30'000 fr. ( art. 74 al. 1 let. b LTF ), le recours en matière civile présentement soumis à l'examen du Tribunal fédéral est en principe recevable, puisqu'il a été déposé dans le délai ( art. 100 al. 1 LTF ) et la forme ( art. 42 LTF ) prévus par la loi.</w:t>
      </w:r>
    </w:p>
    <w:p>
      <w:r>
        <w:rPr>
          <w:b/>
        </w:rPr>
        <w:t>E. 1.2</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La partie recourante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 Aucun fait nouveau ni preuve nouvelle ne peut être présenté à moins de résulter de la décision de l'autorité précédente ( art. 99 al. 1 LTF ). En l'occurrence, la recourante consacre huit pages de son écriture à présenter sa propre version des faits, sans toutefois alléguer - ni a fortiori démontrer - que la cour cantonale aurait commis arbitraire dans l'établissement des faits. Par conséquent, il ne sera tenu aucun compte de son exposé.</w:t>
      </w:r>
    </w:p>
    <w:p>
      <w:r>
        <w:rPr>
          <w:b/>
        </w:rPr>
        <w:t>E. 2</w:t>
      </w:r>
    </w:p>
    <w:p>
      <w:r>
        <w:t>La recourante déclare former son recours pour violation des dispositions régissant le contrat d'entreprise, la culpa in contrahendo ainsi que la violation des normes sur l'enrichissement illégitime. Cela étant, elle expose en premier lieu que les parties auraient passé par actes concluants, le 21 février 2004, un contrat d'entreprise portant sur les travaux de construction d'un chalet, indépendamment de la question de la vente immobilière; se fondant sur cette prémisse, elle soutient avoir procédé à la mise en oeuvre de l'accord du 21 février 2004 en particulier par le biais de l'établissement des plans et du dépôt d'une demande d'autorisation de construire, avant que l'intimé ne résilie le contrat, ce qui lui donnerait selon elle droit à une indemnité conformément à l' art. 377 CO . De la sorte, la recourante ne fait toutefois que développer une argumentation à caractère appellatoire dans laquelle elle tente de faire prévaloir sa propre vision des choses sur celle des précédents juges; en particulier, elle ne discute guère les motifs de la décision attaquée, dans laquelle la cour cantonale est parvenue, aux termes de considérants complets et convaincants auxquels il sied de renvoyer, à la conclusion que le contrat qu'il s'agissait de conclure en l'espèce était un contrat mixte dont la validité requérait le respect de la forme authentique et qu'à ce défaut, il n'y avait pas de place pour des prétentions fondées sur l'existence d'un lien contractuel. Pour le surplus, la recourante plaide, dans une motivation subsidiaire, que les juges cantonaux auraient erré en niant l'existence d'une responsabilité précontractuelle de l'intimé. A cet égard, elle se borne cependant derechef à mettre en exergue des éléments qu'elle estime utiles à sa thèse, pour aboutir à la conclusion inverse à celle de la cour cantonale - à laquelle celle-ci est parvenue au terme de développements auxquels il y a là encore lieu de renvoyer dans leur intégralité -; la recourante rediscute ainsi en réalité vainement les faits - dont elle ne démontre pas qu'ils auraient été établis de manière arbitraire - sans faire par ailleurs apparaître en quoi les juges cantonaux auraient violé le droit fédéral. Enfin, la recourante estime qu'il n'y aurait pas lieu à restitution des acomptes versés; elle critique en particulier le fait que la cour cantonale ait jugé qu'elle ne pouvait se prévaloir de sa bonne foi lorsqu'elle s'est dessaisie de la somme de 140'000 fr.; à cet égard, la cour cantonale a considéré que la recourante devait compter avec la possibilité que l'affaire ne soit pas conclue, ce que celle-ci tente vainement de contester; par conséquent, le cas de figure prévu par l' art. 64 CO in fine est réalisé. La recourante soutient enfin qu'elle devrait à tout le moins pouvoir imputer sur la somme à restituer les impenses nécessaires et utiles qu'elle a dû débourser; sur ce point, les juges cantonaux ont estimé que les frais qui avaient été engagés avant le versement des acomptes ne pouvaient être considérés comme étant en lien de causalité avec ceux-ci, argumentation que la recourante ne remet pas en cause; ils ont en outre retenu en fait que la recourante n'avait nullement établi avoir dû s'acquitter d'honoraires d'architecte. En définitive, il résulte de ce qui précède que le recours, manifestement mal fondé, doit être rejeté dans la mesure de sa recevabilité, par un arrêt sommairement motivé ( art. 109 al. 2 et 3 LTF ).</w:t>
      </w:r>
    </w:p>
    <w:p>
      <w:r>
        <w:rPr>
          <w:b/>
        </w:rPr>
        <w:t>E. 3</w:t>
      </w:r>
    </w:p>
    <w:p>
      <w:r>
        <w:t>Compte tenu de l'issue du litige, les frais judiciaires et dépens de l'intimé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