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4A_348/2023 vom 4. Juli 2023</w:t>
      </w:r>
    </w:p>
    <w:p>
      <w:r>
        <w:t>Bundesgericht, 2023-07-04, DE</w:t>
      </w:r>
    </w:p>
    <w:p>
      <w:r>
        <w:rPr>
          <w:b/>
        </w:rPr>
        <w:t xml:space="preserve">Quelle: </w:t>
      </w:r>
      <w:r>
        <w:t>https://mcp.opencaselaw.ch/entscheid/bger_4A_348_2023</w:t>
      </w:r>
    </w:p>
    <w:p>
      <w:r>
        <w:t>FR: TF 4A_348/2023 du 4 juillet 2023</w:t>
      </w:r>
    </w:p>
    <w:p>
      <w:r>
        <w:t>IT: TF 4A_348/2023 del 4 luglio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4A_348/2023</w:t>
      </w:r>
    </w:p>
    <w:p>
      <w:r>
        <w:t>Urteil vom 4. Juli 2023</w:t>
      </w:r>
    </w:p>
    <w:p>
      <w:r>
        <w:t>I. zivilrechtliche Abteilung</w:t>
      </w:r>
    </w:p>
    <w:p>
      <w:r>
        <w:t>Besetzung</w:t>
      </w:r>
    </w:p>
    <w:p>
      <w:r>
        <w:t>Bundesrichterin Jametti, Präsidentin,</w:t>
      </w:r>
    </w:p>
    <w:p>
      <w:r>
        <w:t>Gerichtsschreiber Widmer.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B.________ AG,</w:t>
      </w:r>
    </w:p>
    <w:p>
      <w:r>
        <w:t>Beschwerdegegnerin.</w:t>
      </w:r>
    </w:p>
    <w:p>
      <w:r>
        <w:t>Gegenstand</w:t>
      </w:r>
    </w:p>
    <w:p>
      <w:r>
        <w:t>Versicherungsvertrag,</w:t>
      </w:r>
    </w:p>
    <w:p>
      <w:r>
        <w:t>Beschwerde gegen den Entscheid des Zivilgerichts des Kantons Basel-Stadt vom 30. Mai 2023 (K5.2023.17).</w:t>
      </w:r>
    </w:p>
    <w:p>
      <w:r>
        <w:t>In Erwägung,</w:t>
      </w:r>
    </w:p>
    <w:p>
      <w:r>
        <w:t>dass der Beschwerdeführer mit Eingabe vom 25. Juni 2023 beim Bundesgericht unter anderem gegen den Entscheid des Zivilgerichts des Kantons Basel-Stadt vom 30. Mai 2023 (K5.2023.17) Beschwerde erhob;</w:t>
      </w:r>
    </w:p>
    <w:p>
      <w:r>
        <w:t>dass in Zivilsachen, wie hier eine vorliegt, die Beschwerde an das Bundesgericht nur gegen Entscheide letzter kantonaler Instanzen, des Bundesverwaltungsgerichts und des Bundespatentgerichts zulässig ist ( Art. 75 Abs. 1 BGG );</w:t>
      </w:r>
    </w:p>
    <w:p>
      <w:r>
        <w:t>dass es sich beim Zivilgericht des Kantons Basel-Stadt nicht um eine solche Instanz handelt, womit auf die offensichtlich unzulässige Beschwerde im vereinfachten Verfahren nach Art. 108 Abs. 1 lit. a BGG nicht einzutreten ist;</w:t>
      </w:r>
    </w:p>
    <w:p>
      <w:r>
        <w:t>dass ausnahmsweise auf die Erhebung von Gerichtskosten zu verzichten ist (Art. 66 Abs. 1 zweiter Satz BGG);</w:t>
      </w:r>
    </w:p>
    <w:p>
      <w:r>
        <w:t>dass die Beschwerdegegnerin keinen Anspruch auf eine Parteientschädigung hat, da ihr aus dem bundesgerichtlichen Verfahren kein Aufwand entstanden ist ( Art. 68 Abs. 1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Dieses Urteil wird den Parteien und dem Zivilgericht des Kantons Basel-Stadt schriftlich mitgeteilt.</w:t>
      </w:r>
    </w:p>
    <w:p>
      <w:r>
        <w:t>Lausanne, 4. Juli 2023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Jametti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