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348/2016 vom 23. Juni 2016</w:t>
      </w:r>
    </w:p>
    <w:p>
      <w:r>
        <w:t>Bundesgericht, 2016-06-23, FR</w:t>
      </w:r>
    </w:p>
    <w:p>
      <w:r>
        <w:rPr>
          <w:b/>
        </w:rPr>
        <w:t xml:space="preserve">Quelle: </w:t>
      </w:r>
      <w:r>
        <w:t>https://mcp.opencaselaw.ch/entscheid/bger_4A_348_2016</w:t>
      </w:r>
    </w:p>
    <w:p>
      <w:r>
        <w:t>FR: TF 4A 348/2016 du 23 juin 2016</w:t>
      </w:r>
    </w:p>
    <w:p>
      <w:r>
        <w:t>IT: TF 4A 348/2016 del 23 giugno 2016</w:t>
      </w:r>
    </w:p>
    <w:p>
      <w:pPr>
        <w:pStyle w:val="Heading2"/>
      </w:pPr>
      <w:r>
        <w:t>Regeste</w:t>
      </w:r>
    </w:p>
    <w:p>
      <w:r>
        <w:t>contrat de travail; salaire | Droit des contrats</w:t>
      </w:r>
    </w:p>
    <w:p>
      <w:pPr>
        <w:pStyle w:val="Heading2"/>
      </w:pPr>
      <w:r>
        <w:t>Erwägungen</w:t>
      </w:r>
    </w:p>
    <w:p>
      <w:r>
        <w:rPr>
          <w:b/>
        </w:rPr>
        <w:t>E. 1</w:t>
      </w:r>
    </w:p>
    <w:p>
      <w:r>
        <w:t>Par quatre arrêts distincts rendus en appel le 22 avril 2016, la Chambre des prud'hommes de la Cour de justice du canton de Genève a condamné X.________ à payer solidairement avec un autre défendeur divers montants aux quatre demandeurs A.________, B.________, C.________ et D.________. Ceux-ci obtiennent respectivement, en capital et à titre de salaire brut soumis aux déductions sociales, 29'975 fr., 29'967 fr.55, 19'823 fr.65 et 29'985 fr.50. Les défendeurs sont en outre condamnés à établir des fiches de salaire et des certificats de travail. La Cour de justice a notamment discuté et retenu la qualité pour défendre des deux défendeurs.</w:t>
      </w:r>
    </w:p>
    <w:p>
      <w:r>
        <w:rPr>
          <w:b/>
        </w:rPr>
        <w:t>E. 2</w:t>
      </w:r>
    </w:p>
    <w:p>
      <w:r>
        <w:t>X.________ attaque chacun de ces arrêts par la voie du recours en matière civile au Tribunal fédéral. Les quatre actes de recours sont à peu près identiques. Leur auteur requiert de « faire examiner la décision de la Cour de justice par le Tribunal fédéral ». En substance, il affirme qu'aucun lien n'existait entre le restaurant qu'il exploite lui-même et celui pour lequel les demandeurs ont effectivement travaillé, adjacent mais « séparé par une porte fermée ». Invité à verser des sûretés en garantie des frais judiciaires, le recourant s'est dit hors d'état de les fournir.</w:t>
      </w:r>
    </w:p>
    <w:p>
      <w:r>
        <w:rPr>
          <w:b/>
        </w:rPr>
        <w:t>E. 3</w:t>
      </w:r>
    </w:p>
    <w:p>
      <w:r>
        <w:t>En raison de leur connexité, il se justifie de joindre les causes et de statuer par un arrêt unique.</w:t>
      </w:r>
    </w:p>
    <w:p>
      <w:r>
        <w:rPr>
          <w:b/>
        </w:rPr>
        <w:t>E. 4</w:t>
      </w:r>
    </w:p>
    <w:p>
      <w:r>
        <w:t>A teneur de l'art. 42 al. 1 de la loi fédérale sur le Tribunal fédéral (LTF), le mémoire de recours adressé à ce tribunal doit comporter des conclusions. Celles-ci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 En l'espèce, les conclusions présentées n'indiquent pas quel est le jugement voulu à la place de celui attaqué et elles ne satisfont donc pas à ces exigences; les recours sont irrecevables pour ce motif déjà.</w:t>
      </w:r>
    </w:p>
    <w:p>
      <w:r>
        <w:rPr>
          <w:b/>
        </w:rPr>
        <w:t>E. 5</w:t>
      </w:r>
    </w:p>
    <w:p>
      <w:r>
        <w:t>A teneur de l' art. 42 al. 1 et 2 LTF , le recours adressé à ce tribunal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non plus satisfaites dans la présente contestation, ce qui entraîne aussi l'irrecevabilité des recours.</w:t>
      </w:r>
    </w:p>
    <w:p>
      <w:r>
        <w:rPr>
          <w:b/>
        </w:rPr>
        <w:t>E. 6</w:t>
      </w:r>
    </w:p>
    <w:p>
      <w:r>
        <w:t>A titre de partie qui succombe et nonobstant une situation financière peut-être défavorable, le recourant doit acquitter l'émolument à percevoir par le Tribunal fédéral. En tant qu'il sollicite implicitement l'assistance judiciaire, cette requête ne peut pas être accueillie conformément à l' art. 64 al. 1 LTF car les recours étaient manifestement dépourvus de chances de succès. Les adverses parties n'ont pas été invitées à procéder et il ne leur sera donc pas alloué de dépens.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