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4A_348/2015 vom 15. September 2016</w:t>
      </w:r>
    </w:p>
    <w:p>
      <w:r>
        <w:t>Bundesgericht, 2016-09-15, IT</w:t>
      </w:r>
    </w:p>
    <w:p>
      <w:r>
        <w:rPr>
          <w:b/>
        </w:rPr>
        <w:t xml:space="preserve">Quelle: </w:t>
      </w:r>
      <w:r>
        <w:t>https://mcp.opencaselaw.ch/entscheid/bger_4A_348_2015</w:t>
      </w:r>
    </w:p>
    <w:p>
      <w:r>
        <w:t>FR: TF 4A_348/2015 du 15 septembre 2016</w:t>
      </w:r>
    </w:p>
    <w:p>
      <w:r>
        <w:t>IT: TF 4A_348/2015 del 15 settembre 2016</w:t>
      </w:r>
    </w:p>
    <w:p>
      <w:pPr>
        <w:pStyle w:val="Heading2"/>
      </w:pPr>
      <w:r>
        <w:t>Erwägungen</w:t>
      </w:r>
    </w:p>
    <w:p>
      <w:r>
        <w:rPr>
          <w:b/>
        </w:rPr>
        <w:t>E. 1</w:t>
      </w:r>
    </w:p>
    <w:p>
      <w:r>
        <w:t>Proposto tempestivamente ( art. 100 cpv. 1 LTF ) dalla parte soccombente in sede cantonale ( art. 76 cpv. 1 lett. a LTF ) contro una decisione finale ( art. 90 LTF ) pronunciata su ricorso dall'autorità di ultima istanza del Cantone Ticino ( art. 75 cpv. 1 LTF ) in una causa civile in materia di diritto del lavoro il cui valore litigioso supera fr. 15'000.-- ( art. 74 cpv. 1 lett. a LTF ), il ricorso in materia civile è in linea di principio ammissibile.</w:t>
      </w:r>
    </w:p>
    <w:p>
      <w:r>
        <w:rPr>
          <w:b/>
        </w:rPr>
        <w:t>E. 2.1</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2.2</w:t>
      </w:r>
    </w:p>
    <w:p>
      <w:r>
        <w:t>La ricorrente disconosce questi principi quando rimprovera alla Corte cantonale un accertamento arbitrario dei fatti con riferimento alla data in cui il contratto di lavoro sarebbe terminato. Essa si limita infatti a semplicemente menzionare un documento (stampa di un messaggio di posta elettronica del 6 giugno 2013 che disdirebbe il rapporto di lavoro " con effetto alla fine di maggio 2013") agli atti e a lamentarsi che il giudizio cantonale non ha minimamente considerato tale circostanza. La censura si rivela pertanto di primo acchito inammissibile.</w:t>
      </w:r>
    </w:p>
    <w:p>
      <w:r>
        <w:rPr>
          <w:b/>
        </w:rPr>
        <w:t>E. 3.1</w:t>
      </w:r>
    </w:p>
    <w:p>
      <w:r>
        <w:t>La Corte cantonale ha premesso che, giusta la giurisprudenza sviluppata in applicazione dell' art. 84 CO , se un debito è stato contratto in valuta estera, il creditore è tenuto a chiedere la condanna del debitore in tale valuta e che la facoltà di scegliere in virtù del secondo capoverso della predetta norma di saldare il debito nella moneta del luogo di pagamento spetta unicamente al debitore. Procedendo a un'interpretazione oggettiva del contratto di lavoro, l'autorità inferiore ha però negato che in concreto il contratto prevedesse uno stipendio in valuta estera, indicando che secondo il principio dell'affidamento il riferimento all'euro e un tasso di cambio fisso contenuti nel contratto costituiscono una modalità per determinare l'entità del salario in franchi svizzeri, atteso inoltre che i conteggi sono stati allestiti in franchi svizzeri.</w:t>
      </w:r>
    </w:p>
    <w:p>
      <w:r>
        <w:rPr>
          <w:b/>
        </w:rPr>
        <w:t>E. 3.2</w:t>
      </w:r>
    </w:p>
    <w:p>
      <w:r>
        <w:t>Dopo essersi soffermata sull' art. 84 CO e la relativa giurisprudenza, la ricorrente sostiene che non era necessario interpretare il chiaro testo del contratto. Afferma che da quest'ultimo risulta in modo palese che la valuta del credito è l'euro, nulla mutando l'indicazione di un tasso di cambio fisso, tanto più che esso nemmeno menziona i franchi svizzeri.</w:t>
      </w:r>
    </w:p>
    <w:p>
      <w:r>
        <w:rPr>
          <w:b/>
        </w:rPr>
        <w:t>E. 3.3</w:t>
      </w:r>
    </w:p>
    <w:p>
      <w:r>
        <w:t>Per l'interpretazione di disposizioni contrattuali è in primo luogo decisiva la vera e concorde volontà delle parti contraenti. Se non è possibile determinarla le dichiarazioni contrattuali vanno interpretate, secondo il principio dell'affidamento, e cioè come il destinatario poteva e doveva in buona fede capirle nella situazione concreta ( DTF 138 III 29 consid. 2.2.3; 135 III 295 consid. 5.2).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Non ci si allontana invece dal senso letterale del testo adottato dagli interessati, se non vi è alcuna ragione seria per ritenere che esso non corrisponda alla loro volontà. L'interpretazione del contratto giusta il principio dell'affidamento è una questione concernente l'applicazione del diritto, che può essere esaminata liberamente dal Tribunale federale ( DTF 136 III 186 consid. 3.2.1, con rinvii).</w:t>
      </w:r>
    </w:p>
    <w:p>
      <w:r>
        <w:t>In concreto giova innanzi tutto rilevare che la ricorrente non afferma che la Corte cantonale avrebbe potuto procedere a un'interpretazione soggettiva del contratto. L' interpretazione fondata sul principio dell'affidamento contenuta nella sentenza impugnata non viola il diritto, atteso che non può nemmeno essere seriamente messo in dubbio che il cambio fisso menzionato nel contratto fosse riferito al franco svizzero, in particolare alla luce delle cifre contenute nel conteggio di salario agli atti. Del resto, quando contesta di essere " la parte che trarrebbe vantaggio dal contratto di lavoro ", la ricorrente medesima conferma indirettamente l'interpretazione della Corte cantonale. È infatti unicamente possibile giungere a tale conclusione se è stato concordato un salario in franchi svizzeri, perché nell'ipotesi di una pattuizione in euro la datrice di lavoro avrebbe avuto ogni mese la possibilità di scegliere se versare la retribuzione nella valuta estera o in quella nazionale (utilizzando il tasso di conversione fisso), optando per la variante a lei più favorevole a dipendenza dell'effettiva quotazione dell'euro. In altre parole essa sarebbe stata l'unica a poter beneficiare delle fluttuazioni del tasso di cambio.</w:t>
      </w:r>
    </w:p>
    <w:p>
      <w:r>
        <w:t>Poiché la motivazione principale della sentenza impugnata non viola il diritto federale non è necessario esaminare le censure rivolte contro l'argomentazione abbondanziale della sentenza impugnata, secondo cui anche nel denegato caso in cui nel contratto fosse stata stabilita una retribuzione in euro, le parti avrebbero proceduto a una modifica dello stesso per atti concludenti.</w:t>
      </w:r>
    </w:p>
    <w:p>
      <w:r>
        <w:rPr>
          <w:b/>
        </w:rPr>
        <w:t>E. 4</w:t>
      </w:r>
    </w:p>
    <w:p>
      <w:r>
        <w:t>Il ricorso si rivela infine pure inammissibile quando critica la sentenza di appello con riferimento alla determinazione in fr. 20'000.-- del salario dovuto per il periodo fra settembre e dicembre 2012, perché la ricorrente non censura la motivazione alternativa della Corte cantonale secondo cui in ogni caso, essendo stata chiesta la retribuzione di 9 mesi di lavoro (da settembre a dicembre 2012 e da maggio a settembre 2013) l'ammontare complessivo delle mensilità contrattuali di fr. 3'604.50 supera l'importo totale di fr. 29'999.-- chiesto dal lavoratore. Infatti per costante giurisprudenza quando la sentenza impugnata si fonda su due motivazioni indipendenti, alternative o sussidiarie, il ricorrente deve confrontarsi con entrambe, sotto pena di inammissibilità del ricorso ( DTF 138 III 728 consid. 3.4 con rinvio; 138 I 97 consid. 4.1.4 con rinvii).</w:t>
      </w:r>
    </w:p>
    <w:p>
      <w:r>
        <w:rPr>
          <w:b/>
        </w:rPr>
        <w:t>E. 5</w:t>
      </w:r>
    </w:p>
    <w:p>
      <w:r>
        <w:t>Da quanto precede discende che il ricorso si palesa infondato nella misura in cui risulta ammissibile.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