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347/2020 vom 28. Juli 2020</w:t>
      </w:r>
    </w:p>
    <w:p>
      <w:r>
        <w:t>Bundesgericht, 2020-07-28, DE</w:t>
      </w:r>
    </w:p>
    <w:p>
      <w:r>
        <w:rPr>
          <w:b/>
        </w:rPr>
        <w:t xml:space="preserve">Quelle: </w:t>
      </w:r>
      <w:r>
        <w:t>https://mcp.opencaselaw.ch/entscheid/bger_4A_347_2020</w:t>
      </w:r>
    </w:p>
    <w:p>
      <w:r>
        <w:t>FR: TF 4A 347/2020 du 28 juillet 2020</w:t>
      </w:r>
    </w:p>
    <w:p>
      <w:r>
        <w:t>IT: TF 4A 347/2020 del 28 luglio 2020</w:t>
      </w:r>
    </w:p>
    <w:p>
      <w:pPr>
        <w:pStyle w:val="Heading2"/>
      </w:pPr>
      <w:r>
        <w:t>Regeste</w:t>
      </w:r>
    </w:p>
    <w:p>
      <w:r>
        <w:t>Forderung | Haftpflichtrecht</w:t>
      </w:r>
    </w:p>
    <w:p>
      <w:pPr>
        <w:pStyle w:val="Heading2"/>
      </w:pPr>
      <w:r>
        <w:t>Erwägungen</w:t>
      </w:r>
    </w:p>
    <w:p>
      <w:r>
        <w:rPr>
          <w:b/>
        </w:rPr>
        <w:t>E. 1</w:t>
      </w:r>
    </w:p>
    <w:p>
      <w:r>
        <w:t>Mit Urteil vom 6. Januar 2020 hiess das Kantonsgericht Zug die Forderungsklage der Beschwerdegegnerin gut. Das Kantonsgericht verpflichtete den Beschwerdeführer, der Beschwerdegegnerin Fr. 208'250.-- nebst Zins zu 5 % seit 13. Mai 2016 zu bezahlen. Gegen diesen Entscheid reichte der Beschwerdeführer Berufung beim Obergericht des Kantons Zug ein. Mit Präsidialverfügung vom 18. Mai 2020 wurde auf die Berufung nicht eingetreten, da sie offensichtlich nicht hinreichend begründet sei. Sodann wurde das Gesuch des Beschwerdeführers um Bewilligung der unentgeltlichen Rechtspflege für das Berufungsverfahren abgewiesen. Dagegen erhob der Beschwerdeführer mit Eingabe vom 22. Juni 2020 Beschwerde an das Bundesgericht. Auf das Einholen von Vernehmlassungen zur Beschwerde wurde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Eingabe des Beschwerdeführers erfüllt die genannten Begründungsanforderungen offensichtlich nicht. Er legt darin bloss in frei gehaltenen Ausführungen seine Sicht der Dinge dar, ohne indessen auf die Erwägungen der Vorinstanz hinreichend konkret einzugehen, geschweige denn nachvollziehbar aufzuzeigen, welche Rechte die Vorinstanz mit ihrem Entscheid inwiefern verletzt haben soll. Auf die Beschwerde ist somit mangels hinreichender Begründung nicht einzutreten ( Art. 108 Abs. 1 lit. b BGG ).</w:t>
      </w:r>
    </w:p>
    <w:p>
      <w:r>
        <w:rPr>
          <w:b/>
        </w:rPr>
        <w:t>E. 4</w:t>
      </w:r>
    </w:p>
    <w:p>
      <w:r>
        <w:t>Das Gesuch um Erteilung der aufschiebenden Wirkung wird mit dem Entscheid in der Sache selbst gegenstandslos.</w:t>
      </w:r>
    </w:p>
    <w:p>
      <w:r>
        <w:rPr>
          <w:b/>
        </w:rPr>
        <w:t>E. 5</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dem Beschwerdeführer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