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347/2015 vom 13. August 2015</w:t>
      </w:r>
    </w:p>
    <w:p>
      <w:r>
        <w:t>Bundesgericht, 2015-08-13, IT</w:t>
      </w:r>
    </w:p>
    <w:p>
      <w:r>
        <w:rPr>
          <w:b/>
        </w:rPr>
        <w:t xml:space="preserve">Quelle: </w:t>
      </w:r>
      <w:r>
        <w:t>https://mcp.opencaselaw.ch/entscheid/bger_4A_347_2015</w:t>
      </w:r>
    </w:p>
    <w:p>
      <w:r>
        <w:t>FR: TF 4A 347/2015 du 13 août 2015</w:t>
      </w:r>
    </w:p>
    <w:p>
      <w:r>
        <w:t>IT: TF 4A 347/2015 del 13 agosto 2015</w:t>
      </w:r>
    </w:p>
    <w:p>
      <w:pPr>
        <w:pStyle w:val="Heading2"/>
      </w:pPr>
      <w:r>
        <w:t>Regeste</w:t>
      </w:r>
    </w:p>
    <w:p>
      <w:r>
        <w:t>contratto di appalto; mercede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 Losanna, 13 agosto 2015 In nome della I Corte di diritto civile del Tribunale federale svizzero La Giudice presidente: Klett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