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4A_347/2011 vom 10. August 2011</w:t>
      </w:r>
    </w:p>
    <w:p>
      <w:r>
        <w:t>Bundesgericht, 2011-08-10, DE</w:t>
      </w:r>
    </w:p>
    <w:p>
      <w:r>
        <w:rPr>
          <w:b/>
        </w:rPr>
        <w:t xml:space="preserve">Quelle: </w:t>
      </w:r>
      <w:r>
        <w:t>https://mcp.opencaselaw.ch/entscheid/bger_4A_347_2011</w:t>
      </w:r>
    </w:p>
    <w:p>
      <w:r>
        <w:t>FR: TF 4A_347/2011 du 10 août 2011</w:t>
      </w:r>
    </w:p>
    <w:p>
      <w:r>
        <w:t>IT: TF 4A_347/2011 del 10 agosto 2011</w:t>
      </w:r>
    </w:p>
    <w:p>
      <w:pPr>
        <w:pStyle w:val="Heading2"/>
      </w:pPr>
      <w:r>
        <w:t>Erwägungen</w:t>
      </w:r>
    </w:p>
    <w:p>
      <w:r>
        <w:rPr>
          <w:b/>
        </w:rPr>
        <w:t>E. 1.1</w:t>
      </w:r>
    </w:p>
    <w:p>
      <w:r>
        <w:t>Der von der Vorinstanz festgestellte Sachverhalt ist für das Bundesgericht massgebend, es sei denn, eine Partei zeige auf, dass er offensichtlich unrichtig ist ( Art. 105 BGG ). Das Obergericht hat festgestellt, der Versand der CGV zusammen mit der Offerte sei nicht bewiesen; es hat ferner offengelassen, ob mit den in der Offerte erwähnten "conditions de livraison" einerseits und den CGV andererseits dasselbe gemeint war. Sofern die Beschwerdegegnerin in der Beschwerdeantwort hierzu etwas anderes vorbringt, genügen ihre Ausführungen, die sich in Behauptungen erschöpfen, den Begründungsanforderungen nicht (vgl. BGE 133 II 249 E. 1.4.3; 133 III 393 E. 7.1, 462 E. 2.4). Im Übrigen kann von Willkür ( Art. 9 BV ) keine Rede sein. In der Offerte werden zwei verschiedene Bezeichnungen verwendet, die üblicherweise nicht dasselbe abdecken, umfassen allgemeine Geschäftsbedingungen in der Regel doch mehr als nur Lieferbedingungen; sodann wird präzisiert, dass die "conditions de livraison" als "annexe" beiliegen, während bezüglich der CGV bemerkt wird, der Empfänger der Offerte könne sie verlangen, wenn er sie nicht kenne, was impliziert, dass die CGV der Offerte gerade nicht beilagen und dass sie etwas anderes waren als die beigelegten Lieferbedingungen.</w:t>
      </w:r>
    </w:p>
    <w:p>
      <w:r>
        <w:t>Es steht somit fest, dass die Mitteilung der CGV zusammen mit der Offerte nicht bewiesen ist; da es die Beschwerdegegnerin ist, die aus der Mitteilung der CGV Rechte ableitet, ist zu ihren Ungunsten davon auszugehen, dass die CGV der Offerte nicht beilagen ( Art. 8 ZGB ). Sodann ergibt sich aus dem Text der Offerte, dass die Beschwerdegegnerin mit der Möglichkeit rechnete, dass die Beschwerdeführerin oder deren Vertreter die CGV auch sonst nicht kannte; auch in diesem Punkt ist zu Ungunsten der beweisbelasteten Beschwerdegegnerin anzunehmen, die Gegenpartei habe diese Kenntnis nicht gehabt.</w:t>
      </w:r>
    </w:p>
    <w:p>
      <w:r>
        <w:rPr>
          <w:b/>
        </w:rPr>
        <w:t>E. 1.2</w:t>
      </w:r>
    </w:p>
    <w:p>
      <w:r>
        <w:t>Während das erstinstanzliche Urteil noch vor Inkrafttreten der Schweizerischen Zivilprozessordnung (ZPO; SR 272) erging, und sich die örtliche Zuständigkeit daher nach dem damals anwendbaren Gerichtsstandsgesetz vom 24. März 2000 (aGestG; AS 2000 2355) richtete, hatte die Vorinstanz die Zuständigkeitsfrage grundsätzlich gemäss Art. 404 Abs. 2 ZPO nach den neuen Bestimmungen von Art. 9 ff. ZPO zu beurteilen, wobei eine bestehende Zuständigkeit nach dem alten Recht erhalten blieb (vgl. Urteil 4A_145/2011 vom 20. Juni 2011 E. 2). Die Gültigkeit einer Gerichtsstandsvereinbarung bestimmt sich gemäss Art. 406 ZPO jedoch nach dem Recht, das zur Zeit ihres Abschlusses gegolten hat.</w:t>
      </w:r>
    </w:p>
    <w:p>
      <w:r>
        <w:t>Die Gültigkeit der von der Beschwerdegegnerin behaupteten Gerichtsstandsvereinbarung zugunsten einer Zuständigkeit der solothurnischen Gerichte richtet sich damit nach dem bisherigen Recht des Gerichtsstandsgesetzes. Im Übrigen beurteilt sich die örtliche Zuständigkeit nach Art. 9 ff. ZPO , ausser es wäre unter der Herrschaft des aGestG eine Zuständigkeit begründet worden, die nach den Bestimmungen der ZPO nicht mehr gegeben wäre (vgl. Art. 404 Abs. 2 ZPO ). Dass Letzteres zutreffen würde, bringt die Beschwerdegegnerin jedoch zu Recht nicht vor.</w:t>
      </w:r>
    </w:p>
    <w:p>
      <w:r>
        <w:rPr>
          <w:b/>
        </w:rPr>
        <w:t>E. 2</w:t>
      </w:r>
    </w:p>
    <w:p>
      <w:r>
        <w:t>Das Obergericht hat einen Verzicht der Beschwerdeführerin auf den ordentlichen Wohnsitzgerichtsstand ( Art. 10 Abs. 1 lit. a ZPO ; vgl. bereits Art. 3 Abs. 1 lit. a aGestG) aufgrund eines sog. normativen Konsenses angenommen.</w:t>
      </w:r>
    </w:p>
    <w:p>
      <w:r>
        <w:t>Vereinbarungen prozessrechtlicher Natur sind wie alle Verträge nach Massgabe des Vertrauensprinzips zu beurteilen. Ob ein gültiger Verzicht auf den Wohnsitzrichter vorliegt, hängt davon ab, ob der Vertragspartner des Verzichtenden in guten Treuen annehmen durfte, sein Gegenkontrahent habe mit dem Akzept zum Vertrag auch der Gerichtsstandsvereinbarung zugestimmt. Da die in allgemeinen Geschäftsbedingungen enthaltene Gerichtsstandsklausel in der Regel eine geschäftsfremde und damit ungewöhnliche Bestimmung darstellt und zudem ein verfassungsmässiges Recht ( Art. 30 Abs. 2 BV ) beschränkt, ist diese Annahme nur dann gerechtfertigt, wenn davon ausgegangen werden kann, der Verzichtende habe von der Gerichtsstandsklausel tatsächlich Kenntnis genommen und ihre Bedeutung richtig erkannt. Ist der Verzichtende geschäftserfahren und rechtskundig, so darf sein Vertragspartner einen solchen bewussten Verzicht auf den Wohnsitzrichter in aller Regel dann annehmen, wenn die allgemeinen Geschäftsbedingungen der Vertragsofferte beigelegt waren oder wenn aus früheren Geschäftsbeziehungen deren Anwendbarkeit und Inhalt ihm bekannt waren. Unter diesen Umständen kann von einem erfahrenen und rechtskundigen Geschäftspartner erwartet werden, dass er die Gerichtsstandsklausel beachtet und versteht, ferner, dass er sie ausdrücklich ablehnt, wenn er mit dem Verzicht auf den Wohnsitzrichter nicht einverstanden ist (vgl. BGE 118 Ia 294 E. 2a S. 297; 104 Ia 278 E. 3 S. 280 f.; bestätigt im Entscheid 4C.282/2003 vom 15. Dezember 2003 E. 3.1).</w:t>
      </w:r>
    </w:p>
    <w:p>
      <w:r>
        <w:t>Vorliegend ist in tatsächlicher Hinsicht davon auszugehen, dass die CGV, welche die Gerichtsstandsklausel enthalten, der Offerte der Beschwerdegegnerin nicht beigelegt waren und dass die Beschwerdeführerin bzw. deren Vertreter den Inhalt der CGV auch sonst nicht kannten. Unter diesen Umständen durfte die Beschwerdegegnerin nach den oben erwähnten Grundsätzen nicht in Treu und Glauben annehmen, die Beschwerdeführerin habe mit Annahme der Offerte auch der Gerichtsstandsklausel zugestimmt. Aus dem Umstand, dass die Beschwerdeführerin bzw. deren Vertreter sich nicht nach dem Inhalt der CGV erkundigte, darf nach Treu und Glauben nicht geschlossen werden, sie hätten einem Verzicht auf den verfassungsmässigen Anspruch auf den Richter des Wohnsitzes zugestimmt für den Fall, dass die CGV einen solchen Verzicht vorsähen. Die unterbliebene Mitteilung der Gerichtsstandklausel gereicht demjenigen zum Nachteil, der aus der Mitteilung Rechte ableiten will, und nicht der Gegenpartei; die Bitte an Letztere, allfällige Unregelmässigkeiten der Offerte zu melden, worunter die Beschwerdegegnerin das Fehlen der CGV als Beilage versteht, vermag daran nichts zu ändern.</w:t>
      </w:r>
    </w:p>
    <w:p>
      <w:r>
        <w:t>Eine gültige Gerichtsstandvereinbarung liegt nicht vor. Es gilt somit der Gerichtsstand am Wohnsitz der Beschwerdeführerin ( Art. 10 Abs. 1 lit. a ZPO ; vgl. bereits Art. 3 Abs. 1 lit. a aGestG). Die Gerichte des Kantons Solothurn sind demzufolge nicht zuständig.</w:t>
      </w:r>
    </w:p>
    <w:p>
      <w:r>
        <w:rPr>
          <w:b/>
        </w:rPr>
        <w:t>E. 3</w:t>
      </w:r>
    </w:p>
    <w:p>
      <w:r>
        <w:t>Die unterliegende Beschwerdegegnerin trägt die Gerichts- und Parteikosten ( Art. 66 und 68 BGG ).</w:t>
      </w:r>
    </w:p>
    <w:p>
      <w:r>
        <w:t>Die Sache ist zu neuer Entscheidung über die Kosten- und Entschädigungsfolgen des kantonalen Verfahrens an die Vorinstanz zurückzuweisen (vgl.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