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346/2021 vom 13. Januar 2022</w:t>
      </w:r>
    </w:p>
    <w:p>
      <w:r>
        <w:t>Bundesgericht, 2022-01-13, DE</w:t>
      </w:r>
    </w:p>
    <w:p>
      <w:r>
        <w:rPr>
          <w:b/>
        </w:rPr>
        <w:t xml:space="preserve">Quelle: </w:t>
      </w:r>
      <w:r>
        <w:t>https://mcp.opencaselaw.ch/entscheid/bger_4A_346_2021</w:t>
      </w:r>
    </w:p>
    <w:p>
      <w:r>
        <w:t>FR: TF 4A 346/2021 du 13 janvier 2022</w:t>
      </w:r>
    </w:p>
    <w:p>
      <w:r>
        <w:t>IT: TF 4A 346/2021 del 13 gennaio 2022</w:t>
      </w:r>
    </w:p>
    <w:p>
      <w:pPr>
        <w:pStyle w:val="Heading2"/>
      </w:pPr>
      <w:r>
        <w:t>Regeste</w:t>
      </w:r>
    </w:p>
    <w:p>
      <w:r>
        <w:t>Internationale Schiedsgerichtsbarkeit, | Schiedsgerichtsbarkeit</w:t>
      </w:r>
    </w:p>
    <w:p>
      <w:pPr>
        <w:pStyle w:val="Heading2"/>
      </w:pPr>
      <w:r>
        <w:t>Erwägungen</w:t>
      </w:r>
    </w:p>
    <w:p>
      <w:r>
        <w:rPr>
          <w:b/>
        </w:rPr>
        <w:t>E. 1</w:t>
      </w:r>
    </w:p>
    <w:p>
      <w:r>
        <w:t>Eine Vereinigung der Verfahren 4A_344/2021 und 4A_346/2021 erfolgt definitiv nicht, da sowohl die Beschwerdegegner als auch die angefochtenen Entscheide verschieden sind.</w:t>
      </w:r>
    </w:p>
    <w:p>
      <w:r>
        <w:rPr>
          <w:b/>
        </w:rPr>
        <w:t>E. 2</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3</w:t>
      </w:r>
    </w:p>
    <w:p>
      <w:r>
        <w:t>Der Sitz des Schiedsgerichts befindet sich in Lausanne. Die Parteien hatten im massgebenden Zeitpunkt ihren Sitz beziehungsweise Wohnsitz ausserhalb der Schweiz. Da sie die Geltung des 12. Kapitels des IPRG nicht ausdrücklich ausgeschlossen haben, gelangen dessen Bestimmungen zur Anwendung (siehe Art. 176 Abs. 1 und 2 IPRG ). Die Beschwerde in Zivilsachen ist somit unter den Voraussetzungen der Art. 190-192 IPRG (SR 291) zulässig ( Art. 77 Abs. 1 lit. a BGG ).</w:t>
      </w:r>
    </w:p>
    <w:p>
      <w:r>
        <w:rPr>
          <w:b/>
        </w:rPr>
        <w:t>E. 4</w:t>
      </w:r>
    </w:p>
    <w:p>
      <w:r>
        <w:t>Der Schiedsentscheid kann nur aus einem der in Art. 190 Abs. 2 IPRG abschliessend aufgezählten Gründe angefochten werden.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w:t>
      </w:r>
    </w:p>
    <w:p>
      <w:r>
        <w:rPr>
          <w:b/>
        </w:rPr>
        <w:t>E. 5.1</w:t>
      </w:r>
    </w:p>
    <w:p>
      <w:r>
        <w:t>Die Beschwerdeführerin moniert auch vor Bundesgericht, die FIFA-Kommission sei für die Beurteilung der Streitsache nicht zuständig gewesen, und beruft sich auf Art. 190 Abs. 2 lit. b IPRG . Nach dieser Bestimmung kann ein Schiedsentscheid angefochten werden, wenn sich "das Schiedsgericht zu Unrecht für zuständig oder unzuständig erklärt hat".</w:t>
      </w:r>
    </w:p>
    <w:p>
      <w:r>
        <w:rPr>
          <w:b/>
        </w:rPr>
        <w:t>E. 5.2</w:t>
      </w:r>
    </w:p>
    <w:p>
      <w:r>
        <w:t>Bei verbandsinternen Entscheidungsorganen handelt es sich nach ständiger bundesgerichtlicher Rechtsprechung nicht um Schiedsgerichte. Ihre Entscheidungen stellen einfache Willensäusserungen der beteiligten Vereine - und nicht etwa Rechtsprechungsakte - dar ( BGE 119 II 271 E. 3b S. 276; Urteile 4A_612/2020 vom 18. Juni 2021 E. 4 [Entscheid, nicht aber diese Erwägung, zur Publikation vorgesehen]; 4A_476/2020 vom 5. Januar 2021 E. 3.2; 4A_490/2017 vom 2. Februar 2018 E. 3.3.4; 4A_432/2017 vom 22. Januar 2018 E. 3.3; 4A_492/2016 vom 7. Februar 2017 E. 3.3.3; 4A_222/2015 vom 28. Januar 2016 E. 3.2.3.1; 4A_374/2014 vom 26. Februar 2015 E. 4.3.2.1). Dies gilt auch für die hier in Frage stehende FIFA-Kommission (vgl. BGE 136 III 345 E. 2.2.1 S. 349; Urteil 4A_222/2015 vom 28. Januar 2016 E. 3.2.3.1). Derartige Entscheidungen von Organen eines Vereins schweizerischen Rechts können - sofern der vereinsinterne Instanzenzug ausgeschöpft ist - gestützt auf Art. 75 ZGB angefochten werden, und zwar entweder vor dem zuständigen staatlichen Gericht oder - bei Vorliegen einer entsprechenden Schiedsvereinbarung oder Schiedsklausel - vor einem verbandsunabhängigen Schiedsgericht, wie namentlich dem TAS ( BGE 144 III 120 E. 1.2.2; 136 III 345 E. 2.2.1; Urteile 4A_612/2020 vom 18. Juni 2021 E. 4 [Entscheid, nicht aber diese Erwägung, zur Publikation vorgesehen]; 4A_600/2016 vom 29. Juni 2017 E. 3.2.1; siehe auch Urteil 5A_1027/2018 vom 22. Juli 2019 E. 4). Vor Bundesgericht kann in diesem Zusammenhang gestützt auf Art. 190 Abs. 2 lit. b IPRG geltend gemacht werden, das Schiedsgericht (etwa das TAS) habe sich zu Unrecht für die Beurteilung einer solchen Anfechtungsklage zuständig oder unzuständig erklärt.</w:t>
      </w:r>
    </w:p>
    <w:p>
      <w:r>
        <w:rPr>
          <w:b/>
        </w:rPr>
        <w:t>E. 5.3</w:t>
      </w:r>
    </w:p>
    <w:p>
      <w:r>
        <w:t>Bei der Entscheidung der FIFA-Kommission vom 27. März 2020 handelt es sich um den Beschluss eines Organs eines schweizerischen Vereins. Das TAS stützte seine Kompetenz zur Beurteilung der gegen diesen Beschluss gerichteten Anfechtungsklage auf Art. 57 f. der FIFA-Statuten, Ausgabe 2019, welche die Zuständigkeit des TAS für Berufungen gegen letztinstanzliche Entscheide der FIFA (insbesondere deren Rechtsorgane) vorsehen, und ferner auf Art. R47 TAS-Code. Letzterer hält fest, dass - unter gewissen Voraussetzungen - beim TAS Berufung gegen die Entscheidung eines Verbands erhoben werden kann, wenn dies in den Statuten oder Reglementen des betreffenden Verbands vorgesehen ist. Die Beschwerdeführerin bestreitet weder die Gültigkeit der Schiedsklausel in den FIFA-Statuten noch ihre Bindung daran. Sie anerkennt, dass das TAS vorliegend - auch in sachlicher Hinsicht - die zuständige Anfechtungsinstanz im Sinne von Art. 75 ZGB ist; insbesondere behauptet sie nicht, die vereinsintern letztinstanzliche Entscheidung der FIFA-Kommission vom 27. März 2020 hätte vor einem Gericht aus A.________ oder sonst einem staatlichen Gericht angefochten werden müssen. Die Beschwerdeführerin hat denn auch selbst die Entscheidung der FIFA-Kommission an das TAS weitergezogen.</w:t>
      </w:r>
    </w:p>
    <w:p>
      <w:r>
        <w:rPr>
          <w:b/>
        </w:rPr>
        <w:t>E. 5.4</w:t>
      </w:r>
    </w:p>
    <w:p>
      <w:r>
        <w:t>Wenn die Beschwerdeführerin unter Hinweis auf den "Coaching-Service-Vertrag" vom 16. September 2015 und ihre eigenen Statuten nun vorträgt, die verbandsinterne FIFA-Kommission sei zur Beurteilung des Streits nicht kompetent gewesen, übergeht sie, dass vor Bundesgericht einzig hätte gerügt werden können, das Schiedsgericht (also das TAS) habe sich zu Unrecht für die Beurteilung der auf Art. 75 ZGB gestützten Anfechtungsklage zuständig erklärt ( Art. 190 Abs. 2 lit. b IPRG ). Eine inhaltliche Überprüfung des angefochtenen Schiedsentscheids nimmt das Bundesgericht dagegen nur unter Ordre-public-Gesichtspunkten vor ( Art. 190 Abs. 2 lit. e IPRG ). Eine Verletzung fundamentaler Rechtsgrundsätze macht die Beschwerdeführerin nicht geltend.</w:t>
      </w:r>
    </w:p>
    <w:p>
      <w:r>
        <w:rPr>
          <w:b/>
        </w:rPr>
        <w:t>E. 5.5</w:t>
      </w:r>
    </w:p>
    <w:p>
      <w:r>
        <w:t>Wohl rügt die Beschwerdeführerin in allgemeiner Weise in Rz. 8 und 86 der Beschwerde, das TAS habe "seine eigene Zuständigkeit zur materiellen Entscheidung in der Sache" zu Unrecht bejaht, und sie stellt vor Bundesgericht das Begehren, auch die Zuständigkeit des TAS sei "zu verneinen". Sie begründet diese Rüge und diesen Antrag in der Beschwerde jedoch nicht weiter, worauf der Beschwerdegegner zu Recht aufmerksam macht. Damit hat es sein Bewenden.</w:t>
      </w:r>
    </w:p>
    <w:p>
      <w:r>
        <w:rPr>
          <w:b/>
        </w:rPr>
        <w:t>E. 6</w:t>
      </w:r>
    </w:p>
    <w:p>
      <w:r>
        <w:t>Die Beschwerde ist abzuweisen, soweit darauf eingetreten werden kann. Bei diesem Ausgang des Verfahrens wird die Beschwerdeführerin kosten- und entschädigungspflichtig (siehe Art. 66 Abs. 1 und Art. 68 Abs. 1 und 2 BGG ). In den beiden konnexen Verfahren 4A_344/2021 und 4A_346/2021 stimmen sowohl die Beschwerdeschriften als auch die Vernehmlassungen der jeweiligen (durch die gleichen Rechtsanwältinnen vertretenen) Beschwerdegegner über weite Strecken wörtlich überein. Es rechtfertigt sich daher, die grundsätzlich in Abstimmung auf die erhobene Gerichtsgebühr festgesetzte Parteientschädigung leicht zu reduzieren. Sie ist aus der an die Bundesgerichtskasse geleisteten Sicherheit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