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346/2020 vom 6. Januar 2021</w:t>
      </w:r>
    </w:p>
    <w:p>
      <w:r>
        <w:t>Bundesgericht, 2021-01-06, FR</w:t>
      </w:r>
    </w:p>
    <w:p>
      <w:r>
        <w:rPr>
          <w:b/>
        </w:rPr>
        <w:t xml:space="preserve">Quelle: </w:t>
      </w:r>
      <w:r>
        <w:t>https://mcp.opencaselaw.ch/entscheid/bger_4A_346_2020</w:t>
      </w:r>
    </w:p>
    <w:p>
      <w:r>
        <w:t>FR: TF 4A 346/2020 du 6 janvier 2021</w:t>
      </w:r>
    </w:p>
    <w:p>
      <w:r>
        <w:t>IT: TF 4A 346/2020 del 6 gennaio 2021</w:t>
      </w:r>
    </w:p>
    <w:p>
      <w:pPr>
        <w:pStyle w:val="Heading2"/>
      </w:pPr>
      <w:r>
        <w:t>Regeste</w:t>
      </w:r>
    </w:p>
    <w:p>
      <w:r>
        <w:t>arbitrage international | Juridiction arbitrale</w:t>
      </w:r>
    </w:p>
    <w:p>
      <w:pPr>
        <w:pStyle w:val="Heading2"/>
      </w:pPr>
      <w:r>
        <w:t>Erwägungen</w:t>
      </w:r>
    </w:p>
    <w:p>
      <w:r>
        <w:rPr>
          <w:b/>
        </w:rPr>
        <w:t>E. 1</w:t>
      </w:r>
    </w:p>
    <w:p>
      <w:r>
        <w:t>Le rubrum du présent arrêt tient compte du changement de raison sociale de l'intimée C.________ SA, devenue B.________ SA.</w:t>
      </w:r>
    </w:p>
    <w:p>
      <w:r>
        <w:rPr>
          <w:b/>
        </w:rPr>
        <w:t>E. 2</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celles-ci se sont servies de l'anglais, tandis que, dans le mémoire qu'elle a adressé au Tribunal fédéral, la recourante a employé le français, respectant ainsi l' art. 42 al. 1 LTF en liaison avec l' art. 70 al. 1 Cst. ( ATF 142 III 521 consid.1). Conformément à sa pratique, le Tribunal fédéral rendra, par conséquent, son arrêt en français.</w:t>
      </w:r>
    </w:p>
    <w:p>
      <w:r>
        <w:rPr>
          <w:b/>
        </w:rPr>
        <w:t>E. 3</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de l'arbitrage se trouve à Genève. La recourante n'avait pas son siège en Suisse au moment déterminant. Les dispositions du chapitre 12 de la LDIP sont dès lors applicables ( art. 176 al. 1 LDIP ).</w:t>
      </w:r>
    </w:p>
    <w:p>
      <w:r>
        <w:rPr>
          <w:b/>
        </w:rPr>
        <w:t>E. 4</w:t>
      </w:r>
    </w:p>
    <w:p>
      <w:r>
        <w:t>Qu'il s'agisse de l'objet du recours, du délai de recours, des conclusions prises par la recourante ou encore du grief invoqué par celle-ci, aucune de ces conditions de recevabilité ne fait problème en l'espèce. Demeure réservé l'examen de la recevabilité du moyen soulevé par la recourante.</w:t>
      </w:r>
    </w:p>
    <w:p>
      <w:r>
        <w:rPr>
          <w:b/>
        </w:rPr>
        <w:t>E. 5.1</w:t>
      </w:r>
    </w:p>
    <w:p>
      <w:r>
        <w:t>Le recours en matière d'arbitrage international ne peut être formé que pour l'un des motifs énumérés de manière exhaustive à l' art. 190 al. 2 LDIP ( art. 77 al. 1 let. a LTF ). L'examen matériel d'une sentence arbitrale internationale, par le Tribunal fédéral, est limité à la question de la compatibilité de la sentence avec l'ordre public ( ATF 121 III 331 consid. 3a). 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de l'arbitre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 Aussi bien, la mission du Tribunal fédéral,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5.3</w:t>
      </w:r>
    </w:p>
    <w:p>
      <w:r>
        <w:t>Dans une section du mémoire qu'elle a adressé au Tribunal fédéral (p. 3 à 6), intitulée " Bref rappel des faits " (p. 3 à 5), la recourante présente sa propre version des circonstances de la cause en litige, en se référant notamment à certaines pièces figurant au dossier. Elle y formule des assertions dont certaines s'écartent des constatations faites par l'arbitre. Cette manière de procéder est incompatible avec la nature du recours en matière civile visant une sentence arbitrale internationale et avec le pouvoir d'examen restreint dont jouit le Tribunal fédéral en ce domaine. Il y a lieu, partant, de faire abstraction de ce pseudo-rappel des faits déterminants.</w:t>
      </w:r>
    </w:p>
    <w:p>
      <w:r>
        <w:rPr>
          <w:b/>
        </w:rPr>
        <w:t>E. 6</w:t>
      </w:r>
    </w:p>
    <w:p>
      <w:r>
        <w:t>Dans un unique moyen, divisé en deux branches, la recourante soutient que la décision attaquée est contraire à l'ordre public matériel (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Pour juger si la sentence est compatible avec l'ordre public,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6.2</w:t>
      </w:r>
    </w:p>
    <w:p>
      <w:r>
        <w:t>Dans la première branche du moyen considéré, la recourante reproche à l'arbitre d'avoir violé le principe de la fidélité contractuelle et d'avoir ainsi rendu une sentence incompatible avec l'ordre public matériel au sens de l' art. 190 al. 2 let . e LDIP.</w:t>
      </w:r>
    </w:p>
    <w:p>
      <w:r>
        <w:rPr>
          <w:b/>
        </w:rPr>
        <w:t>E. 6.2.1</w:t>
      </w:r>
    </w:p>
    <w:p>
      <w:r>
        <w:t>Le principe en question, rendu par l'adage pacta sunt servanda , au sens restrictif que lui donne la jurisprudence relative à l' art. 190 al. 2 let . e LDIP, n'est violé que si l'arbitre refuse d'appliquer une clause contractuelle tout en admettant qu'elle lie les parties ou, à l'inverse, s'il leur impose le respect d'une clause dont il considère qu'elle ne les lie pas. En d'autres termes, l'arbitre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4A_70/2020 du 18 juin 2020 consid. 7.3.1; 4A_318/2017 du 28 août 2017 consid. 4.2).</w:t>
      </w:r>
    </w:p>
    <w:p>
      <w:r>
        <w:rPr>
          <w:b/>
        </w:rPr>
        <w:t>E. 6.2.2</w:t>
      </w:r>
    </w:p>
    <w:p>
      <w:r>
        <w:t>En l'espèce, l'arbitre a considéré que la recourante avait commis un dol ( art. 28 CO ) vis-à-vis de l'intimée, en ne lui révélant pas le fait que E.________ avait touché diverses sommes d'argent (" kickbacks ") lors de la conclusion et/ou du renouvellement des contrats d'agence. Selon lui, l'intimée n'aurait pas conclu lesdits contrats si elle avait eu connaissance de cet élément. Examinant ensuite si l'intimée avait invalidé le contrat dans le délai d'une année à partir de la découverte du dol conformément à l' art. 31 CO , l'arbitre a estimé que tel n'avait pas été le cas. En effet, la victime du dol avait agi tardivement en déclarant invalider les contrats le 28 février 2019, dans la mesure où elle avait suffisamment connaissance de la tromperie lorsqu'elle avait eu accès, le 8 septembre 2017, au dossier de la procédure pénale ouverte à l'encontre de E.________. Faute d'invalidation dans le délai péremptoire d'un an après la découverte du dol, les contrats d'agence étaient ainsi tenus pour ratifiés. La recourante n'avait en revanche pas allégué que la ratification était intervenue expressément ou par actes concluants avant l'écoulement dudit délai. L'arbitre a ensuite estimé que l'intimée pouvait opposer l'exception prévue par l' art. 60 al. 3 CO pour faire échec aux prétentions de la recourante fondées sur les contrats entachés de dol, même une fois le délai de l' art. 31 CO expiré, puisque le dol constituait un acte illicite.</w:t>
      </w:r>
    </w:p>
    <w:p>
      <w:r>
        <w:rPr>
          <w:b/>
        </w:rPr>
        <w:t>E. 6.2.3</w:t>
      </w:r>
    </w:p>
    <w:p>
      <w:r>
        <w:t>Dans son mémoire de recours, l'intéressée relève tout d'abord que l'arbitre a reconnu l'existence des contrats d'agence mais a refusé d'en assurer le respect en se fondant sur des considérations non pertinentes. Selon elle, l' art. 60 al. 3 CO ne serait ni applicable, ni déterminant en l'espèce, et, ce pour les trois raisons suivantes: - cette disposition ne s'appliquerait pas aux contrats de durée dont les prestations effectuées ne peuvent pas être restituées; - l'intimée n'aurait jamais allégué, et encore moins prouvé l'existence d'un dommage, condition nécessaire à l'application de l' art. 60 al. 3 CO ; - l'intimée aurait ratifié les contrats d'agence par actes concluants en se plaignant d'une violation contractuelle commise par la recourante, la privant ainsi de son droit de soulever l'exception prévue à l' art. 60 al. 3 CO .</w:t>
      </w:r>
    </w:p>
    <w:p>
      <w:r>
        <w:rPr>
          <w:b/>
        </w:rPr>
        <w:t>E. 6.2.4</w:t>
      </w:r>
    </w:p>
    <w:p>
      <w:r>
        <w:t>L'argumentation de la recourante, ainsi résumée, revêtant un caractère appellatoire marqué et reposant en partie sur des allégations qui s'écartent des faits constatés souverainement par l'arbitre, nécessite une remarque préalable de la Cour de céans. Force est, en effet, de rappeler ici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et ce quel que puisse être le degré de cette contrariété, à la supposer établie (arrêts 4A_248/2019 du 25 août 2020 consid. 9.8.1 non destiné à la publication; 4A_32/2016 du 20 décembre 2016 consid. 4.3). Il ne faut pas oublier, à cet égard, que le Tribunal fédéral, quand bien même il est appelé à statuer sur un recours dirigé contre une sentence rendue par un arbitre siégeant en Suisse et autorisé à appliquer le droit suisse,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ainsi qu'il le ferait s'il était saisi d'un recours en matière civile dirigé contre un arrêt cantonal et comme la recourante tente de l'inciter à le faire (arrêts 4A_318/2018 du 4 mars 2019 consid. 4.5.1; 4A_312/2017 du 27 novembre 2017 consid. 3.3.4.2; 4A_32/2016, précité, consid. 4.3). Dès lors, toutes les considérations relatives aux conditions d'application de l' art. 60 al. 3 CO émises dans les écritures des parties seront ignorées à dessein ci-après pour laisser la place à la seule question à résoudre, laquelle consiste à se demander si le résultat auquel a abouti l'arbitre rend ou non la sentence déférée incompatible avec l'ordre public matériel. On relèvera, en passant, que lorsque la recourante fait valoir que l'arbitre n'aurait pas suffisamment examiné si l' art. 60 al. 3 CO était applicable en l'espèce, en ne consacrant que quelques lignes à cette question, l'intéressée semble, en réalité, se plaindre d'une violation de son droit d'être entendue ( art. 190 al. 2 let . d LDIP), grief qu'elle n'invoque pourtant pas ni ne motive. Il n'y a dès lors pas lieu de s'attarder sur ce point. En l'occurrence, la recourante, se fondant sur une jurisprudence qui n'est plus d'actualité, méconnaît totalement la notion jurisprudentielle restrictive de la fidélité contractuelle en matière d'arbitrage, lorsqu'elle affirme que la violation de l' art. 60 al. 3 CO fonde celle du principe pacta sunt servanda . En effet, l'arbitre n'a pas refusé d'appliquer une disposition contractuelle en se mettant en contradiction avec le résultat de son interprétation. Il a considéré que les contrats entachés de dol étaient juridiquement valables, puisque l'intimée ne les avait pas invalidés dans le délai péremptoire d'une année prévu à cet effet. L'intimée pouvait toutefois faire échec aux prétentions élevées par la recourante, en soulevant une exception fondée sur l' art. 60 al. 3 CO . Aussi la démonstration de la recourante ne vise-t-elle pas à établir une violation du principe de la fidélité contractuelle, mais uniquement à remettre en cause, de manière inadmissible, l'application d'une règle de droit jugée pertinente par l'arbitre. En tout état de cause, l'éventuelle violation par l'arbitre de l' art. 60 al. 3 CO , ne saurait être tenue pour incompatible per se avec l'ordre public. Dans la sentence attaquée, l'arbitre a estimé que l'intimée, victime d'une tromperie intentionnelle lors de la conclusion et/ou du renouvellement des contrats d'agence, pouvait valablement refuser de payer les montants qui lui étaient réclamés en excipant du dol conformément à l' art. 60 al. 3 CO . Un tel résultat n'apparaît, sur la base des constatations de l'arbitre, nullement contraire à l'ordre public matériel. A le supposer recevable, le moyen pris d'une violation du principe pacta sunt servanda se révèle, dès lors, infondé.</w:t>
      </w:r>
    </w:p>
    <w:p>
      <w:r>
        <w:rPr>
          <w:b/>
        </w:rPr>
        <w:t>E. 6.3</w:t>
      </w:r>
    </w:p>
    <w:p>
      <w:r>
        <w:t>Dans la seconde branche du moyen considéré, la recourante prétend que la sentence entreprise consacrerait un abus de droit. A cet égard, elle fait référence à l'exception de position mal acquise et souligne que la fonction corrective prévue à l' art. 2 al. 2 CC ne peut être exercée, dans ce domaine, que dans les cas où le droit a été acquis de façon contraire à la loi, à des engagements contractuels ou d'une manière contraire aux moeurs. Selon elle, l'intimée n'a pu invoquer l'exception fondée sur l' art. 60 al. 3 CO qu'en raison d'une position mal acquise, puisqu'elle ne respectait pas ses propres obligations contractuelles depuis plusieurs années. Si l'intimée avait payé les commissions dues comme elle était tenue de le faire, elle n'aurait pas pu soulever pareille exception. La solution retenue par l'arbitre reviendrait dès lors à cautionner un abus de droit de l'intimée en plaçant celle-ci " dans une situation plus favorable à celle qui aurait été la sienne si elle avait respecté ses engagements contractuels ". A la lecture de l'argumentation censée étayer le moyen examiné, il saute aux yeux que la recourante confond le Tribunal fédéral avec une cour d'appel. L'intéressée se contente en effet de présenter son appréciation juridique du comportement de l'intimée et d'exposer sa propre interprétation de l' art. 60 al. 3 CO et du but poursuivi par ladite disposition. Quoi qu'il en soit, sa démonstration, au demeurant difficilement intelligible, n'est pas convaincante et ne permet nullement de retenir l'existence d'un abus de droit. A suivre le raisonnement de la recourante, on devrait en effet considérer, comme le souligne avec raison l'intimée, que l'interdiction de l'abus de droit ferait pareillement obstacle à toute exception de prescription, dès lors que celle-ci, si elle était admise par le tribunal, aurait pour effet de placer la partie débitrice dans une situation juridique plus favorable à celle qui aurait été la sienne si elle avait honoré ses engagements contractuels. Aussi l'intimée n'a-t-elle pas adopté un comportement constitutif d'un abus de droit en ne s'acquittant pas de ses obligations financières envers la recourante avant de lui opposer, dans un second temps, l'exception prévue par l' art. 60 al. 3 CO . Contrairement à ce qu'affirme la recourante, la solution retenue par l'arbitre ne revient pas à cautionner, voire à encourager le non-respect par une partie de ses obligations contractuelles. Elle consiste simplement à admettre que l'intimée, victime d'un dol, pouvait en l'espèce valablement refuser d'exécuter sa prestation en vertu de l' art. 60 al. 3 CO , et ce même si elle n'avait pas invalidé les contrats d'agence dans le délai prévu à cet effet. Au regard de l'ensemble des circonstances, et singulièrement du dol commis par la recourante, le résultat auquel a abouti l'arbitre n'est manifestement pas contraire à l'ordre public matériel, ce qui suffit à sceller le sort du moyen considéré.</w:t>
      </w:r>
    </w:p>
    <w:p>
      <w:r>
        <w:rPr>
          <w:b/>
        </w:rPr>
        <w:t>E. 7</w:t>
      </w:r>
    </w:p>
    <w:p>
      <w:r>
        <w:t>Sur le vu de ce qui précède, le recours doit être rejeté dans la mesure de sa recevabilité. La recourante, qui succombe, prendra à sa charge les frais de la procédure fédérale ( art. 66 al. 1 LTF ) et versera en outre à l'intimée une indemnité à titre de dépens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