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346/2016 vom 17. Januar 2017</w:t>
      </w:r>
    </w:p>
    <w:p>
      <w:r>
        <w:t>Bundesgericht, 2017-01-17, FR</w:t>
      </w:r>
    </w:p>
    <w:p>
      <w:r>
        <w:rPr>
          <w:b/>
        </w:rPr>
        <w:t xml:space="preserve">Quelle: </w:t>
      </w:r>
      <w:r>
        <w:t>https://mcp.opencaselaw.ch/entscheid/bger_4A_346_2016</w:t>
      </w:r>
    </w:p>
    <w:p>
      <w:r>
        <w:t>FR: TF 4A 346/2016 du 17 janvier 2017</w:t>
      </w:r>
    </w:p>
    <w:p>
      <w:r>
        <w:t>IT: TF 4A 346/2016 del 17 gennaio 2017</w:t>
      </w:r>
    </w:p>
    <w:p>
      <w:pPr>
        <w:pStyle w:val="Heading2"/>
      </w:pPr>
      <w:r>
        <w:t>Regeste</w:t>
      </w:r>
    </w:p>
    <w:p>
      <w:r>
        <w:t>bail à loyer; résiliation | Droit des contrats</w:t>
      </w:r>
    </w:p>
    <w:p>
      <w:pPr>
        <w:pStyle w:val="Heading2"/>
      </w:pPr>
      <w:r>
        <w:t>Erwägungen</w:t>
      </w:r>
    </w:p>
    <w:p>
      <w:r>
        <w:rPr>
          <w:b/>
        </w:rPr>
        <w:t>E. 1</w:t>
      </w:r>
    </w:p>
    <w:p>
      <w:r>
        <w:t>Les deux recours étant dirigés contre la même décision, il y a lieu de joindre les causes et de statuer par un arrêt unique.</w:t>
      </w:r>
    </w:p>
    <w:p>
      <w:r>
        <w:rPr>
          <w:b/>
        </w:rPr>
        <w:t>E. 2</w:t>
      </w:r>
    </w:p>
    <w:p>
      <w:r>
        <w:t>Les conditions de recevabilité du recours en matière civile sont satisfaites, notamment à raison de la valeur litigieuse. Le recours est ouvert pour violation du droit fédéral ( art. 95 let. a LTF ). Le Tribunal fédéral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141 IV 249 consid. 1.3.1 p. 253; 140 III 264 consid. 2.3 p. 266; 137 I 58 consid. 4.1.2 p. 62).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les critiques dites appellatoires, tendant simplement à une nouvelle appréciation des preuves, sont irrecevables ( ATF 133 II 249 consid. 1.4.3 p. 254; voir aussi ATF 141 IV 249 consid. 1.3.1 p. 253; 140 III 264 consid. 2.3 p. 266; 137 I 58 consid. 4.1.2 p. 62).</w:t>
      </w:r>
    </w:p>
    <w:p>
      <w:r>
        <w:rPr>
          <w:b/>
        </w:rPr>
        <w:t>E. 3</w:t>
      </w:r>
    </w:p>
    <w:p>
      <w:r>
        <w:t>Il est constant que lors du congé litigieux, les parties étaient liées par un contrat de bail à loyer soumis aux art. 253 et ss CO. A titre principal, la contestation porte sur l'annulation de ce congé. Aux termes de l' art. 271 al. 1 CO , la résiliation d'un bail d'habitation ou de locaux commerciaux est annulable lorsqu'elle contrevient aux règles de la bonne foi. Cette disposition protège le locataire, notamment, contre le congé purement chicanier qui ne répond à aucun intérêt objectif, sérieux et digne de protection, et dont le motif n'est qu'un prétexte. Le locataire est aussi protégé en cas de disproportion grossière des intérêts en présence; il l'est également lorsque le bailleur use de son droit de manière inutilement rigoureuse ou adopte une attitude contradictoire. La protection ainsi conférée procède à la fois du principe de la bonne foi et de l'interdiction de l'abus de droit, respectivement consacrés par les al. 1 et 2 de l' art. 2 CC ; il n'est toutefois pas nécessaire que l'attitude de la partie donnant congé à l'autre constitue un abus de droit « manifeste » aux termes de cette dernière disposition ( ATF 120 II 105 consid. 3 p. 108; 120 II 31 consid. 4a p. 32; voir aussi ATF 140 III 496 consid. 4.1 p. 497; 138 III 59 consid. 2.1 p. 61/62). La validité d'un congé doit être appréciée en fonction des circonstances présentes au moment de cette manifestation de volonté ( ATF 142 III 91 consid. 3.2.1 p. 92/93; ATF 140 III 496 et 138 III 59, ibid.). En l'espèce, le congé est motivé par l'intention de remplacer la demanderesse, dans les locaux loués, par W.________ SA qui y pratiquera la même activité commerciale. A l'appui de son recours en matière civile, la demanderesse soutient que ce remplacement ne répond pour la défenderesse à aucun intérêt économique ou financier digne de considération, qu'il s'agit d'un procédé déloyal destiné à la spolier de sa clientèle et à capter le fruit des efforts qu'elle a déployés durant de nombreuses années pour développer son entreprise, et que la défenderesse use aussi de représailles par suite de la demande de baisse de loyer présentée en décembre 2008. Elle allègue que la directrice du centre commercial a conservé à son encontre un « fort ressentiment » depuis cette demande et qu'elle a activement et personnellement contribué à stimuler l'intérêt de W.________ SA pour le centre commercial de.... La Cour de justice n'a pas constaté l'intention malveillante que la demanderesse impute à la directrice du centre commercial. Cette partie propose inutilement sa propre appréciation des témoignages recueillis par le Tribunal des baux et loyers; son exposé est manifestement inapte à mettre en évidence une lacune indiscutable dans les constatations qui lient le Tribunal fédéral selon l' art. 105 al. 1 LTF . Pour le surplus, chacun des cocontractants est en principe libre de mettre fin à un bail à loyer de durée indéterminée conformément à l' art. 266a al. 1 CO , c'est-à-dire en observant les délais et termes de résiliation légaux ou convenus. L' art. 271 al. 1 CO ne tend pas à supprimer la liberté du bailleur de résilier le contrat, mais seulement à protéger le locataire contre d'éventuels abus de cette liberté. La défenderesse et W.________ SA appartiennent l'une et l'autre au groupe U.________. Du point de vue économique, le remplacement de la demanderesse par W.________ SA conduira le groupe U.________ à offrir lui-même les prestations d'un fitness au public, par l'entremise de l'une de ses propres sociétés et dans un centre commercial qui lui appartient, au lieu de louer à un groupe tiers des surfaces consacrées à cette activité. La logique économique de cette opération est évidente et indiscutable; il n'est donc pas question d'un congé chicanier et dépourvu de motif objectif. Le congé ne saurait être jugé déloyal et abusif pour cette seule raison que W.________ SA bénéficiera effectivement et d'emblée d'une clientèle déjà habituée à la présence d'un fitness à l'emplacement concerné. La défenderesse s'est engagée envers la demanderesse pour une durée initiale de dix ans qui s'est entièrement écoulée; ses devoirs de loyauté ne s'étendent pas au delà. La demanderesse ayant accepté cette durée initiale, elle a aussi accepté que sa cocontractante puisse plus tard, le cas échéant, résilier le contrat en vue de faire prévaloir ses propres intérêts au détriment des siens. Ainsi, elle échoue à mettre en évidence une application éventuellement incorrecte de l' art. 271 al. 1 CO , ce qui entraîne le rejet de ses conclusions principales.</w:t>
      </w:r>
    </w:p>
    <w:p>
      <w:r>
        <w:rPr>
          <w:b/>
        </w:rPr>
        <w:t>E. 4</w:t>
      </w:r>
    </w:p>
    <w:p>
      <w:r>
        <w:t>A titre subsidiaire, la contestation porte sur la prolongation du bail. Aux termes des art. 272 al. 1 et 272b al. 1 CO, le locataire peut demander la prolongation d'un bail de locaux commerciaux pour une durée de six ans au maximum, lorsque la fin du contrat aurait pour lui des conséquences pénibles et que les intérêts du bailleur ne les justifient pas. Dans cette limite de temps, le juge peut accorder une ou deux prolongations. Le juge apprécie librement, selon les règles du droit et de l'équité,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ainsi que l'état du marché locatif local ( art. 272 al. 2 CO ; ATF 136 III 190 consid. 6 p. 195; 135 III 121 consid. 2 p. 123; 125 III 226 consid. 4b p. 230). Le Tribunal fédéral ne contrôle qu'avec réserve une décision prise dans l'exercice du pouvoir d'appréciation. Il intervient lorsque la juridiction cantonale s'écarte sans raison des règles établies en la matière par la doctrine et la jurisprudence,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138 III 252 consid. 2.1 p. 254; 136 III 278 consid. 2.2.1 p. 279; 135 III 121 consid. 2 p. 123). Selon l'appréciation de la Cour de justice, la défenderesse n'a aucun besoin impérieux d'intégrer rapidement W.________ SA à son centre commercial. La demanderesse a pu amortir ses frais d'installation initiaux. Elle a plus tard exposé des frais d'entretien des locaux mais elle n'a alors réclamé à la défenderesse aucune garantie de pouvoir les amortir sur une certaine durée. D'autres frais ont porté sur des biens meubles que la demanderesse pourra déplacer et utiliser dans d'autres locaux. Cette partie n'a pas cherché de locaux de remplacement alors qu'il existe de nombreuses surfaces commerciales vacantes dans les environs de... et de.... Enfin, la durée de cinq ans accordée par le Tribunal des baux et loyers tient adéquatement compte du risque de perte de clientèle, de sorte que cette durée est confirmée. La présence de nombreuses surfaces commerciales vacantes dans les environs de... et de... n'est pas mise en doute par la demanderesse. La Cour n'a cependant pas constaté que certaines de ces surfaces présentent des caractéristiques effectivement appropriées à l'exploitation d'un fitness. Le risque d'une perte de clientèle consécutive à un déménagement est incontestable car les usagers d'un fitness accordent une grande importance à son emplacement. Mieux qu'une prolongation de deux ans seulement, une prolongation plus importante peut mettre la demanderesse en mesure de trouver des locaux de remplacement aux caractéristiques réellement appropriées, de plus voisins de l'emplacement actuel, de manière à réduire le plus possible le risque de perte de clientèle. La défenderesse affirme donc à tort que la Cour ait perdu de vue le but d'une prolongation du contrat, consistant à donner du temps au locataire pour trouver des locaux de remplacement. La demanderesse n'a certes pas cherché des locaux de remplacement mais cet élément d'appréciation ne saurait être surestimé car la contestation du congé pouvait présenter certaines chances de succès. En définitive, la durée de cinq ans confirmée par la Cour semble très importante, donc très favorable à la demanderesse, mais elle s'inscrit néanmoins dans les limites du pouvoir d'appréciation reconnu à la juridiction cantonale. Il s'ensuit que les deux recours sont privés de fondement et doivent être rejetés.</w:t>
      </w:r>
    </w:p>
    <w:p>
      <w:r>
        <w:rPr>
          <w:b/>
        </w:rPr>
        <w:t>E. 5</w:t>
      </w:r>
    </w:p>
    <w:p>
      <w:r>
        <w:t>L'émolument à percevoir par le Tribunal fédéral doit être réparti par moitié entre les parties et les dépens doivent être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