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346/2007 vom 16. November 2007</w:t>
      </w:r>
    </w:p>
    <w:p>
      <w:r>
        <w:t>Bundesgericht, 2007-11-16, FR</w:t>
      </w:r>
    </w:p>
    <w:p>
      <w:r>
        <w:rPr>
          <w:b/>
        </w:rPr>
        <w:t xml:space="preserve">Quelle: </w:t>
      </w:r>
      <w:r>
        <w:t>https://mcp.opencaselaw.ch/entscheid/bger_4A_346_2007</w:t>
      </w:r>
    </w:p>
    <w:p>
      <w:r>
        <w:t>FR: TF 4A 346/2007 du 16 novembre 2007</w:t>
      </w:r>
    </w:p>
    <w:p>
      <w:r>
        <w:t>IT: TF 4A 346/2007 del 16 novembre 2007</w:t>
      </w:r>
    </w:p>
    <w:p>
      <w:pPr>
        <w:pStyle w:val="Heading2"/>
      </w:pPr>
      <w:r>
        <w:t>Regeste</w:t>
      </w:r>
    </w:p>
    <w:p>
      <w:r>
        <w:t>contrat de travail; licenciement collectif | Droit des contrats</w:t>
      </w:r>
    </w:p>
    <w:p>
      <w:pPr>
        <w:pStyle w:val="Heading2"/>
      </w:pPr>
      <w:r>
        <w:t>Erwägungen</w:t>
      </w:r>
    </w:p>
    <w:p>
      <w:r>
        <w:rPr>
          <w:b/>
        </w:rPr>
        <w:t>E. 1</w:t>
      </w:r>
    </w:p>
    <w:p>
      <w:r>
        <w:t>Le jugement de la Ire Cour civile étant postérieur à l'entrée en vigueur, au 1er janvier 2007, de la loi fédérale sur le Tribunal fédéral du 17 juin 2005 (LTF; RO 2006 p. 1242), la cause est soumise à cette loi ( art. 132 al. 1 LTF ).</w:t>
      </w:r>
    </w:p>
    <w:p>
      <w:r>
        <w:rPr>
          <w:b/>
        </w:rPr>
        <w:t>E. 2</w:t>
      </w:r>
    </w:p>
    <w:p>
      <w:r>
        <w:t>Le recours est dirigé contre un jugement final ( art. 90 LTF ), rendu en matière civile ( art. 72 al. 1 LTF ) et en dernière instance cantonale ( art. 75 al. 1 LTF ). Déterminée conformément aux art. 51 al. 1 let. a et 52 LTF (consid. 3 ci-dessous), la valeur litigieuse excède le minimum légal de 15'000 fr. prévu en matière de droit du travail ( art. 74 al. 1 let. a LTF ). Le recours est formé par des plaideurs qui ont pris part à l'instance précédente et succombé dans leurs conclusions ( art. 76 al. 1 LTF ). Déposé en temps utile ( art. 100 al. 1 LTF ) et dans les formes requises (art. 42 al. 1 à 3 LTF), le recours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conduit son raisonnement juridique sur la base des faits constatés dans la décision attaquée ( art. 105 al. 1 LTF ).</w:t>
      </w:r>
    </w:p>
    <w:p>
      <w:r>
        <w:rPr>
          <w:b/>
        </w:rPr>
        <w:t>E. 3</w:t>
      </w:r>
    </w:p>
    <w:p>
      <w:r>
        <w:t>Aux termes de l' art. 52 LTF , les divers chefs de conclusions formés dans une affaire pécuniaire par la même partie ou par des consorts sont additionnés, à moins qu'ils ne s'excluent. Cette règle correspond à l'art. 47 al. 1 de la loi fédérale d'organisation judiciaire du 16 décembre 1943 (OJ), en vigueur jusqu'au 31 décembre 2006. Selon la jurisprudence, il y a lieu d'additionner les conclusions prises par plusieurs demandeurs lorsque, entre autres cas, elles portent sur des prétentions de même nature et fondées sur une cause matérielle et juridique essentiellement de même nature; il faut en outre que ces conclusions aient été effectivement réunies en instance cantonale, même si les demandeurs n'ont pas d'emblée agi conjointement, et qu'elles aient abouti à une décision unique ( ATF 103 II 41 consid. 1c p. 44; voir aussi ATF 122 III 229 consid. 2b p. 231). Ces conditions sont satisfaites en l'espèce; le Tribunal fédéral doit donc statuer sur toutes les prétentions en cause, y compris celles - en forte majorité - qui n'atteignent pas le plancher de 15'000 francs.</w:t>
      </w:r>
    </w:p>
    <w:p>
      <w:r>
        <w:rPr>
          <w:b/>
        </w:rPr>
        <w:t>E. 4</w:t>
      </w:r>
    </w:p>
    <w:p>
      <w:r>
        <w:t>Il est constant que X.________ SA s'est liée aux demandeurs par des contrats de travail et qu'elle a procédé à leur licenciement collectif sans respecter les obligations qui lui incombaient selon l' art. 335f CO , concernant la consultation préalable de la représentation des travailleurs. Un contrat de travail de durée indéterminée peut être résilié conformément à l' art. 335 al. 1 CO . La résiliation est cependant abusive lorsqu'elle intervient dans l'une des situations énumérées à l' art. 336 al. 1 ou 2 CO , soit notamment, selon l' art. 336 al. 2 let . c CO, lorsque l'employeur procède à un licenciement collectif sans avoir consulté la représentation des travailleurs. Selon l' art. 336a al. 1 et 2 CO , la partie qui a résilié abusivement doit à l'autre une indemnité à fixer par le juge et correspondant, en règle générale, à six mois de salaire au plus. L' art. 336a al. 3 CO limite à deux mois de salaire, au plus, l'indemnité due en cas de licenciement collectif sans consultation préalable de la représentation des travailleurs. C'est cette indemnité qui est présentement revendiquée par les demandeurs.</w:t>
      </w:r>
    </w:p>
    <w:p>
      <w:r>
        <w:rPr>
          <w:b/>
        </w:rPr>
        <w:t>E. 5</w:t>
      </w:r>
    </w:p>
    <w:p>
      <w:r>
        <w:t>D'après l' art. 336b al. 1 et 2 CO , la partie qui envisage de réclamer une indemnité par suite d'un licenciement abusif doit faire opposition au congé auprès de l'autre partie, par écrit et au plus tard à la fin du délai de congé (al. 1). Si l'opposition est valable et que les parties ne s'entendent pas pour maintenir le rapport de travail, celle qui a reçu le congé peut faire valoir sa prétention; au besoin, et sous peine de péremption, elle doit agir en justice dans un délai de cent huitante jours (al. 2). Si, au contraire, les parties s'accordent et conviennent de maintenir le rapport de travail, la créance d'indemnité s'éteint. Dans les éventuelles négociations qui suivent l'opposition au congé, le travailleur n'a aucun devoir d'accepter une modification du contrat de travail; en revanche, le travailleur doit accepter un retrait du congé, en ce sens que même s'il refuse le retrait, celui-ci éteint la créance d'indemnité ( ATF 123 III 246 consid. 4c p. 252). La Cour civile retient que les demandeurs ont fait opposition aux congés, que X.________ SA leur a déclaré retirer ces mêmes congés et que les demandeurs ont tacitement accepté ce retrait en poursuivant les rapports de travail comme si l'employeuse ne les avait pas licenciés. D'après la Cour, les parties ont ainsi conclu des contrats ayant pour objet de tenir les congés pour non avenus, et il résulte de cette situation que les indemnités réclamées ne sont pas dues. Ce jugement est exactement conforme à l' art. 336b al. 2 CO . Pour le contester, les demandeurs soutiennent que dans le cas particulier du licenciement abusif visé par les art. 336 al. 2 let . c CO et 336a al. 3 CO, l'indemnité est due même si les congés ne prennent pas effet et que les rapports de travail sont finalement poursuivis. Ils consacrent de longs développements à la nature et au but des indemnités prévues par l' art. 336a CO mais ces généralités n'apportent rien à l'appui de leur thèse. Celle-ci méconnaît que d'après son texte et sa place dans le système de la loi, l' art. 336b CO régit en principe tous les cas de licenciement abusif. Le Tribunal fédéral a d'ailleurs déjà admis, sans que cela ne prêtât à discussion, que le délai de péremption de l' art. 336b al. 2 CO doit être respecté aussi après un licenciement collectif sans consultation de la représentation des travailleurs ( ATF 132 III 406 consid. 2 p. 408). La règle prévoyant l'opposition au congé a pour but de favoriser la négociation entre les parties et, au delà, la continuation du rapport de travail plutôt que le paiement d'une indemnité (Ullin Streiff et Adrian von Kaenel, Arbeitsvertrag, Praxiskommentar zu Art. 319-362 OR , 6e éd., 2006, p. 713 ch. 4). Cela coïncide avec l'objectif des art. 335f et 335g CO concernant la procédure préalable aux licenciements collectifs, en tant que celle-ci est destinée à favoriser la sauvegarde des emplois compromis (Streiff/von Kaenel, op. cit., p. 629 ch. 2). Dans ces conditions, on ne voit guère ce qui pourrait justifier l'opinion ici défendue par les demandeurs. Ceux-ci soulignent vainement qu'en l'espèce, le retrait des congés n'est pas le fruit de négociations avec eux mais une échappatoire consécutive au contrat que l'employeuse a pu conclure avec Y.________ SA alors qu'elle bénéficiait d'un sursis concordataire. En effet, il est classique que des emplois menacés par les difficultés financières de l'employeur soient sauvegardés, si possible, au moyen d'un transfert de l'entreprise, ou d'une partie de l'entreprise, à un autre employeur.</w:t>
      </w:r>
    </w:p>
    <w:p>
      <w:r>
        <w:rPr>
          <w:b/>
        </w:rPr>
        <w:t>E. 6</w:t>
      </w:r>
    </w:p>
    <w:p>
      <w:r>
        <w:t>Le recours se révèle privé de fondement, ce qui conduit à son rejet. A titre de parties qui succombent, les demandeurs doivent acquitter l'émolument à percevoir par le Tribunal fédéral et les dépens à allouer aux défenderesses.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