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 345/2021 vom 30. Juni 2021</w:t>
      </w:r>
    </w:p>
    <w:p>
      <w:r>
        <w:t>Bundesgericht, 2021-06-30, FR</w:t>
      </w:r>
    </w:p>
    <w:p>
      <w:r>
        <w:rPr>
          <w:b/>
        </w:rPr>
        <w:t xml:space="preserve">Quelle: </w:t>
      </w:r>
      <w:r>
        <w:t>https://mcp.opencaselaw.ch/entscheid/bger_4A_345_2021</w:t>
      </w:r>
    </w:p>
    <w:p>
      <w:r>
        <w:t>FR: TF 4A 345/2021 du 30 juin 2021</w:t>
      </w:r>
    </w:p>
    <w:p>
      <w:r>
        <w:t>IT: TF 4A 345/2021 del 30 giugno 2021</w:t>
      </w:r>
    </w:p>
    <w:p>
      <w:pPr>
        <w:pStyle w:val="Heading2"/>
      </w:pPr>
      <w:r>
        <w:t>Regeste</w:t>
      </w:r>
    </w:p>
    <w:p>
      <w:r>
        <w:t>vente en cas de demeure du créancier (art. 93 CO); irrecevabilité du recours | Droit des contrats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irrecevable.</w:t>
      </w:r>
    </w:p>
    <w:p>
      <w:r>
        <w:rPr>
          <w:b/>
        </w:rPr>
        <w:t>E. 2</w:t>
      </w:r>
    </w:p>
    <w:p>
      <w:r>
        <w:t>Il n'est pas perçu de frais.</w:t>
      </w:r>
    </w:p>
    <w:p>
      <w:r>
        <w:rPr>
          <w:b/>
        </w:rPr>
        <w:t>E. 3</w:t>
      </w:r>
    </w:p>
    <w:p>
      <w:r>
        <w:t>Le présent arrêt est communiqué aux parties et à la Cour civile du Tribunal cantonal du canton du Jura. Lausanne, le 30 juin 2021 Au nom de la Ire Cour de droit civil du Tribunal fédéral suisse La Présidente : Hohl Le Greffier : O. Carruzzo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