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345/2014 vom 20. Oktober 2014</w:t>
      </w:r>
    </w:p>
    <w:p>
      <w:r>
        <w:t>Bundesgericht, 2014-10-20, FR</w:t>
      </w:r>
    </w:p>
    <w:p>
      <w:r>
        <w:rPr>
          <w:b/>
        </w:rPr>
        <w:t xml:space="preserve">Quelle: </w:t>
      </w:r>
      <w:r>
        <w:t>https://mcp.opencaselaw.ch/entscheid/bger_4A_345_2014</w:t>
      </w:r>
    </w:p>
    <w:p>
      <w:r>
        <w:t>FR: TF 4A 345/2014 du 20 octobre 2014</w:t>
      </w:r>
    </w:p>
    <w:p>
      <w:r>
        <w:t>IT: TF 4A 345/2014 del 20 ottobre 2014</w:t>
      </w:r>
    </w:p>
    <w:p>
      <w:pPr>
        <w:pStyle w:val="Heading2"/>
      </w:pPr>
      <w:r>
        <w:t>Regeste</w:t>
      </w:r>
    </w:p>
    <w:p>
      <w:r>
        <w:t>procédure civile; élection de for | Droit des obligations (en général)</w:t>
      </w:r>
    </w:p>
    <w:p>
      <w:pPr>
        <w:pStyle w:val="Heading2"/>
      </w:pPr>
      <w:r>
        <w:t>Erwägungen</w:t>
      </w:r>
    </w:p>
    <w:p>
      <w:r>
        <w:rPr>
          <w:b/>
        </w:rPr>
        <w:t>E. 1</w:t>
      </w:r>
    </w:p>
    <w:p>
      <w:r>
        <w:t>L'arrêt attaqué est une décision incidente sur la compétence des tribunaux fribourgeois, susceptible du recours séparé prévu par l' art. 92 al. 1 LTF . Les conditions de recevabilité du recours en matière civile sont par ailleurs satisfaites, notamment à raison de la valeur litigieuse. Le recours est ouvert pour violation du droit fédéral ou international ( art. 95 let. a et b LTF ). Dans une affaire pécuniaire, le Tribunal fédéral ne contrôle pas l'application du droit étranger éventuellement pertinent ( art. 96 let. b LTF ); la partie recourante ne peut invoquer à ce sujet, s'il y a lieu, que la protection contre l'arbitraire conférée par l' art. 9 Cst. ( ATF 137 III 517 consid. 3.3 in fine p. 521).</w:t>
      </w:r>
    </w:p>
    <w:p>
      <w:r>
        <w:rPr>
          <w:b/>
        </w:rPr>
        <w:t>E. 2</w:t>
      </w:r>
    </w:p>
    <w:p>
      <w:r>
        <w:t>Les autorités précédentes se jugent compétentes au regard de l'art. 151 al. 1 de la loi fédérale sur le droit international privé (LDIP), prévoyant un for au lieu du siège de la société - en l'occurrence, le siège de X.________ SA - pour l'action en dommages-intérêts intentée à une personne responsable en vertu du droit des sociétés. Pour deux motifs, ces autorités admettent leur compétence nonobstant les clauses d'élection de for insérées dans les contrats de prêt et de garantie du 29 août 1997 : d'une part, ces clauses ne visent pas une action en dommages-intérêts fondée sur le droit des sociétés; d'autre part, l'élection de for ne fait pas partie des exceptions que l'organe social puisse opposer à la prétention élevée pour le compte de la communauté des créanciers. La recourante conteste ces deux motifs; elle se plaint d'une application prétendument incorrecte de l' art. 5 LDIP relatif à l'élection de for et des art. 754 et 756 CO relatifs à la responsabilité des organes sociaux.</w:t>
      </w:r>
    </w:p>
    <w:p>
      <w:r>
        <w:rPr>
          <w:b/>
        </w:rPr>
        <w:t>E. 3</w:t>
      </w:r>
    </w:p>
    <w:p>
      <w:r>
        <w:t>L' art. 5 al. 1 LDIP prévoit qu'en matière patrimoniale, les parties peuvent convenir du tribunal appelé à trancher un différend né ou à naître à l'occasion d'un rapport de droit déterminé; sauf stipulation contraire, le for élu est seul compétent. Le recours nécessite d'examiner si les clauses d'élection de for présentes dans les contrats du 29 août 1997 s'étendent à l'action en dommages-intérêts fondée sur le droit des sociétés, selon l'opinion de la recourante, ou si elles ne s'étendent pas à cette action, selon l'opinion contraire des autorités précédentes et de la demanderesse. Dans l'affirmative, l' art. 5 al. 1 LDIP exclut la compétence des tribunaux fribourgeois. Cette question doit être résolue par l'interprétation des clauses d'élection de for, laquelle est régie par le droit applicable aux contrats qui les contiennent, désigné par le droit international privé suisse (arrêts 4A_149/2013 du 31 juillet 2013, consid. 4; 4C.163/2001 du 7 août 2001, consid. 2b, relatifs à la Convention de Lugano). Les contrats portaient sur un prêt bancaire et sur la garantie de son remboursement; l'établissement bancaire et la société garante avaient l'une et l'autre leur établissement en Russie, de sorte que lesdits contrats sont soumis au droit russe en vertu des art. 117 al. 2 et 117 al. 3 let. a et e LDIP. Les autorités précédentes n'ont pas tenté d'établir le contenu du droit russe mais la recourante n'élève aucune critique à ce sujet; elle ne se plaint notamment pas d'une violation de l' art. 16 al. 1 LDIP concernant la constatation du droit étranger. Elle se réfère aux principes du droit suisse concernant l'interprétation des conventions d'arbitrage ou des clauses d'élection de for. Elle semble donc implicitement admettre que ce droit est applicable à titre supplétif sur la base de l' art. 16 al. 2 LDIP .</w:t>
      </w:r>
    </w:p>
    <w:p>
      <w:r>
        <w:rPr>
          <w:b/>
        </w:rPr>
        <w:t>E. 4</w:t>
      </w:r>
    </w:p>
    <w:p>
      <w:r>
        <w:t>Les clauses que la défenderesse invoque se rapportent aux contrats de prêt et de garantie conclus en 1997. En tant que d'après leur libellé, ces clauses se rapportent à toute contestation en rapport avec ces contrats, elles visent aussi, selon la volonté présumable des cocontractants, les contestations ayant trait à la liquidation de relations contractuelles qui n'ont pas été valablement établies ou qui se sont éteintes (arrêt 4C.22/1994 du 28 juin 1994, consid. 2a, SJ 1995 p. 179; voir aussi ATF 138 III 681 consid. 4.4 p. 687 concernant une convention d'arbitrage). En revanche, elles ne s'étendent pas aux litiges qui résultent d'autres relations juridiques, telles que celles établies entre la société bénéficiaire du prêt bancaire, X.________ SA, et les organes de cette même société. Il s'ensuit qu'au regard du droit suisse à prendre en considération selon l' art. 16 al. 2 LDIP , les clauses d'élection de for n'excluent pas la compétence des tribunaux fribourgeois. Cela suffit à entraîner le rejet du recours, de sorte qu'il n'est pas nécessaire de contrôler le raisonnement que ces tribunaux fondent sur les art. 754 et 756 CO .</w:t>
      </w:r>
    </w:p>
    <w:p>
      <w:r>
        <w:rPr>
          <w:b/>
        </w:rPr>
        <w:t>E. 5</w:t>
      </w:r>
    </w:p>
    <w:p>
      <w:r>
        <w:t>A titre de partie qui succombe, la recourante doit acquitter l'émolument à percevoir par le Tribunal fédéral et les dépens auxquels la demanderesse peut prétendre. Les autres parties n'ont pas été invitées à procéder et il ne leur est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