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4A_344/2019 vom 9. Juli 2019</w:t>
      </w:r>
    </w:p>
    <w:p>
      <w:r>
        <w:t>Bundesgericht, 2019-07-09, DE</w:t>
      </w:r>
    </w:p>
    <w:p>
      <w:r>
        <w:rPr>
          <w:b/>
        </w:rPr>
        <w:t xml:space="preserve">Quelle: </w:t>
      </w:r>
      <w:r>
        <w:t>https://mcp.opencaselaw.ch/entscheid/bger_4A_344_2019</w:t>
      </w:r>
    </w:p>
    <w:p>
      <w:r>
        <w:t>FR: TF 4A_344/2019 du 9 juillet 2019</w:t>
      </w:r>
    </w:p>
    <w:p>
      <w:r>
        <w:t>IT: TF 4A_344/2019 del 9 luglio 2019</w:t>
      </w:r>
    </w:p>
    <w:p>
      <w:pPr>
        <w:pStyle w:val="Heading2"/>
      </w:pPr>
      <w:r>
        <w:t>Volltext</w:t>
      </w:r>
    </w:p>
    <w:p>
      <w:r>
        <w:t>Bundesgericht</w:t>
      </w:r>
    </w:p>
    <w:p>
      <w:r>
        <w:t>Tribunal fédéral</w:t>
      </w:r>
    </w:p>
    <w:p>
      <w:r>
        <w:t>Tribunale federale</w:t>
      </w:r>
    </w:p>
    <w:p>
      <w:r>
        <w:t>Tribunal federal</w:t>
      </w:r>
    </w:p>
    <w:p>
      <w:r>
        <w:t>4A_344/2019</w:t>
      </w:r>
    </w:p>
    <w:p>
      <w:r>
        <w:t>Urteil vom 9. Juli 2019</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Rechtsanwältin Dr. Kathrin Amstutz,</w:t>
      </w:r>
    </w:p>
    <w:p>
      <w:r>
        <w:t>Beschwerdegegnerin.</w:t>
      </w:r>
    </w:p>
    <w:p>
      <w:r>
        <w:t>Gegenstand</w:t>
      </w:r>
    </w:p>
    <w:p>
      <w:r>
        <w:t>Mieterausweisung,</w:t>
      </w:r>
    </w:p>
    <w:p>
      <w:r>
        <w:t>Beschwerde gegen das Urteil des Kantonsgerichts Luzern, 1. Abteilung, vom 3. Juni 2019 (1B 19 21 / 1U 19 7).</w:t>
      </w:r>
    </w:p>
    <w:p>
      <w:r>
        <w:t>In Erwägung,</w:t>
      </w:r>
    </w:p>
    <w:p>
      <w:r>
        <w:t>dass der Einzelrichter des Bezirksgerichts Luzern die Beschwerdeführer mit Urteil vom 5. April 2019 unter Androhung einer Busse im Widerhandlungsfall verpflichtete, die Familienwohnung X.________ in U.________, inkl. Abstellplätze Nr. yyy, innert zehn Tagen seit Rechtskraft des Entscheids zu räumen, zu reinigen, zu verlassen und der Beschwerdegegnerin sämtliche Schlüssel des Mietobjekts zurückzugeben;</w:t>
      </w:r>
    </w:p>
    <w:p>
      <w:r>
        <w:t>dass die Beschwerdegegnerin zudem ermächtigt wurde, im Unterlassungsfall die polizeiliche Vollstreckung zu verlangen;</w:t>
      </w:r>
    </w:p>
    <w:p>
      <w:r>
        <w:t>dass das Kantonsgericht des Kantons Luzern mit Urteil vom 3. Juni 2019 eine von den Beschwerdeführern gegen den bezirksgerichtlichen Entscheid vom 5. April 2019 erhobene Berufung abwies und den erstinstanzlichen Ausweisungsentscheid bestätigte;</w:t>
      </w:r>
    </w:p>
    <w:p>
      <w:r>
        <w:t>dass die Beschwerdeführer dem Bundesgericht mit Eingabe vom 5. Juli 2019 erklärten, den Entscheid des Kantonsgerichts des Kantons Luzern vom 3. Juni 2019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 nicht hinreichend mit den Erwägungen des angefochtenen Entscheids des Kantonsgerichts des Kantons Luzern vom 3. Juni 2019 auseinandersetzen und aufzeigen, inwiefern die Vorinstanz mit ihrem Entscheid Bundesrecht verletzt hätte, sondern dem Bundesgericht unter Berufung auf verschiedene Unterlagen einen Sachverhalt unterbreiten, der von dem vorinstanzlich verbindlich festgestellten abweicht, ohne rechtsgenügend zu begründen, inwiefern dies nach Art. 105 Abs. 2 BGG zulässig sein soll;</w:t>
      </w:r>
    </w:p>
    <w:p>
      <w:r>
        <w:t>dass sich die Beschwerdeführer insbesondere auf den Einwand der Verrechnung berufen, ohne auf die Hauptbegründung der Vorinstanz einzugehen, wonach die Verrechnungseinrede von vornherein unbehelflich sei, da sie nicht innert der gesetzlichen Zahlungsfrist ( Art. 257d Abs. 1 OR ) erklärte wurde (vgl. BGE 119 II 241 E. 6b/bb-cc S. 248; Urteil 4A_585/2011 vom 7. November 2011 E. 3.2);</w:t>
      </w:r>
    </w:p>
    <w:p>
      <w:r>
        <w:t>dass die Beschwerdeführer zwar das Willkürverbot nach Art. 9 BV erwähnen, jedoch offensichtlich nicht hinreichend aufzeigen, inwiefern die erwähnte Verfassungsbestimmung verletzt worden sein soll;</w:t>
      </w:r>
    </w:p>
    <w:p>
      <w:r>
        <w:t>dass die Beschwerdeführer hinsichtlich der Frist für die Ausweisung ausführen, eine Ausweisung sei frühestens per 30. Juni 2019 vertretbar, diese Frist jedoch bereits abgelaufen ist und sie nicht unter Bezugnahme auf die Erwägungen im angefochtenen Entscheid aufzeigen, inwiefern die Ausweisung im heutigen Zeitpunkt gegen Bundesrecht verstossen soll;</w:t>
      </w:r>
    </w:p>
    <w:p>
      <w:r>
        <w:t>dass die Eingabe der Beschwerdeführer vom 5. Juli 2019 die erwähnten Begründungsanforderungen daher offensichtlich nicht erfüllt, weshalb darauf in Anwendung von Art. 108 Abs. 1 lit. b BGG nicht eingetreten werden kann;</w:t>
      </w:r>
    </w:p>
    <w:p>
      <w:r>
        <w:t>dass mit dem Entscheid in der Sache das Gesuch um Erteilung der aufschiebenden Wirkung gegenstandslos wird;</w:t>
      </w:r>
    </w:p>
    <w:p>
      <w:r>
        <w:t>dass das Gesuch um unentgeltliche Rechtspflege für das bundesgerichtliche Verfahren bereits wegen Aussichtslosigkeit der Beschwerde abzuweisen ist ( Art. 64 Abs. 1 BGG );</w:t>
      </w:r>
    </w:p>
    <w:p>
      <w:r>
        <w:t>dass die Beschwerdeführer bei diesem Verfahrensausgang unter solidarischer Haftbarkeit kostenpflichtig werden ( Art. 66 Abs. 1 und 5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den Beschwerdeführern unter solidarischer Haftbarkeit (intern je zur Hälfte) auferlegt.</w:t>
      </w:r>
    </w:p>
    <w:p>
      <w:r>
        <w:t>4.</w:t>
      </w:r>
    </w:p>
    <w:p>
      <w:r>
        <w:t>Es wird keine Parteientschädigung zugesprochen.</w:t>
      </w:r>
    </w:p>
    <w:p>
      <w:r>
        <w:t>5.</w:t>
      </w:r>
    </w:p>
    <w:p>
      <w:r>
        <w:t>Dieses Urteil wird den Parteien und dem Kantonsgericht Luzern, 1. Abteilung, schriftlich mitgeteilt.</w:t>
      </w:r>
    </w:p>
    <w:p>
      <w:r>
        <w:t>Lausanne, 9. Juli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