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344/2013 vom 21. Januar 2014</w:t>
      </w:r>
    </w:p>
    <w:p>
      <w:r>
        <w:t>Bundesgericht, 2014-01-21, DE</w:t>
      </w:r>
    </w:p>
    <w:p>
      <w:r>
        <w:rPr>
          <w:b/>
        </w:rPr>
        <w:t xml:space="preserve">Quelle: </w:t>
      </w:r>
      <w:r>
        <w:t>https://mcp.opencaselaw.ch/entscheid/bger_4A_344_2013</w:t>
      </w:r>
    </w:p>
    <w:p>
      <w:r>
        <w:t>FR: TF 4A 344/2013 du 21 janvier 2014</w:t>
      </w:r>
    </w:p>
    <w:p>
      <w:r>
        <w:t>IT: TF 4A 344/2013 del 21 gennaio 2014</w:t>
      </w:r>
    </w:p>
    <w:p>
      <w:pPr>
        <w:pStyle w:val="Heading2"/>
      </w:pPr>
      <w:r>
        <w:t>Regeste</w:t>
      </w:r>
    </w:p>
    <w:p>
      <w:r>
        <w:t>Internationale und örtliche Zuständigkeit | Obligationenrecht (allgemein)</w:t>
      </w:r>
    </w:p>
    <w:p>
      <w:pPr>
        <w:pStyle w:val="Heading2"/>
      </w:pPr>
      <w:r>
        <w:t>Erwägungen</w:t>
      </w:r>
    </w:p>
    <w:p>
      <w:r>
        <w:rPr>
          <w:b/>
        </w:rPr>
        <w:t>E. 1</w:t>
      </w:r>
    </w:p>
    <w:p>
      <w:r>
        <w:t>Das Bundesgericht prüft von Amtes wegen und mit freier Kognition, ob ein Rechtsmittel zulässig ist ( BGE 138 III 46 E. 1).</w:t>
      </w:r>
    </w:p>
    <w:p>
      <w:r>
        <w:rPr>
          <w:b/>
        </w:rPr>
        <w:t>E. 1.1</w:t>
      </w:r>
    </w:p>
    <w:p>
      <w:r>
        <w:t>Beim angefochtenen Entscheid des Obergerichts, mit dem dieses die internationale und örtliche Zuständigkeit des Bezirksgerichts Luzern zur Beurteilung der Klage der Beschwerdegegnerin gegen den Beschwerdeführer bejaht hat, handelt es sich um einen selbständig eröffneten Zwischenentscheid eines oberen kantonalen Gerichts, das als letzte kantonale Instanz in einem Rechtsmittelverfahren über die Zuständigkeit geurteilt hat. Dagegen ist die Beschwerde in Zivilsachen zulässig (Art. 92 Abs. 1 i.V.m. Art. 75 BGG ). Nach dem Grundsatz der Einheit des Verfahrens ist der Zwischenentscheid aber nur mit Beschwerde anfechtbar, wenn es auch der Endentscheid ist ( BGE 133 III 645 E. 2.2 S. 647 f.). Dies trifft vorliegend zu, handelt es sich in der Hauptsache doch um eine vermögensrechtliche Angelegenheit mit einem Fr. 30'000.-- weit übersteigenden Streitwert ( Art. 74 Abs. 1 lit. b BGG ).</w:t>
      </w:r>
    </w:p>
    <w:p>
      <w:r>
        <w:rPr>
          <w:b/>
        </w:rPr>
        <w:t>E. 1.2.1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133 II 249 E. 1.4.1; je mit Hinweisen). Unerlässlich ist im Hinblick auf Art. 42 Abs. 2 sowie Art. 106 Abs. 2 BGG , dass die Beschwerde auf die Begründung des angefochtenen Entscheids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749). Die Begründung hat ferner in der Beschwerdeschrift selbst zu erfolgen und der blosse Verweis auf Ausführungen in anderen Rechtsschriften oder auf die Akten reicht nicht aus ( BGE 133 II 396 E. 3.1 S. 399 f.; 131 III 384 E. 2.3 S. 387 f.; je mit Hinweisen).</w:t>
      </w:r>
    </w:p>
    <w:p>
      <w:r>
        <w:rPr>
          <w:b/>
        </w:rPr>
        <w:t>E. 1.2.2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namentlich die Parteivorbringen in denselben (Urteil 4A_225/2013 vom 14. November 2013 E. 1.3.1, zur Publikation bestimmt). 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w:t>
      </w:r>
    </w:p>
    <w:p>
      <w:r>
        <w:rPr>
          <w:b/>
        </w:rPr>
        <w:t>E. 1.2.3</w:t>
      </w:r>
    </w:p>
    <w:p>
      <w:r>
        <w:t>Der Beschwerdeführer verkennt diese Grundsätze in mehrfacher Hinsicht. So beruft er sich in seiner Eingabe ohne Erhebung tauglicher Sachverhaltsrügen auf Sachverhaltselemente, die im angefochtenen Entscheid keine Stütze finden. Soweit er sich gegen die vorinstanzlichen Feststellungen zum (Prozess-) Sachverhalt richtet, verkennt er sodann, dass blosse Verweise auf Ausführungen in anderen Rechtsschriften oder auf die Akten den Begründungsanforderungen an eine Sachverhaltsrüge nicht genügen. Schliesslich unterlässt es der Beschwerdeführer grösstenteils, seine Rügen auf die als rechtsfehlerhaft erachteten Erwägungen der Vorinstanz zu beziehen. Darauf kann nicht eingetreten werden.</w:t>
      </w:r>
    </w:p>
    <w:p>
      <w:r>
        <w:rPr>
          <w:b/>
        </w:rPr>
        <w:t>E. 2</w:t>
      </w:r>
    </w:p>
    <w:p>
      <w:r>
        <w:t>Der Beschwerdeführer macht sinngemäss geltend, die Klage der Beschwerdegegnerin betreffe das Gebiet des Erbrechts i.S. von Art. 1 Ziff. 2 lit. a LugÜ und sei damit vom Anwendungsbereich dieses Übereinkommens ausgenommen. Die Vorinstanz habe zu Unrecht die internationale Zuständigkeit des Bezirksgerichts Luzern gestützt auf Art. 2 Ziff. 1 LugÜ bejaht.</w:t>
      </w:r>
    </w:p>
    <w:p>
      <w:r>
        <w:rPr>
          <w:b/>
        </w:rPr>
        <w:t>E. 2.1</w:t>
      </w:r>
    </w:p>
    <w:p>
      <w:r>
        <w:t>Unter Streitigkeiten aus dem Gebiet "des Erbrechts einschliesslich des Testamentsrechts" im Sinne von Art. 1 Abs. 2 Ziff. 1 LugÜ fallen alle Ansprüche des Erben "auf und an den Nachlass" ( BGE 135 III 185 E. 3.4.1 S. 191). Das Auftreten erbrechtlicher Vorfragen hindert die Anwendung des LugÜ nicht. Ansprüche gegen Dritte, in die ein Erbe causa mortis nachfolgt, fallen folglich dann in den sachlichen Anwendungsbereich des Lugano-Übereinkommens, wenn sich der geltend gemachte Anspruch bereits im Vermögen des Erblassers befand, mithin nur die Aktivlegitimation des Erben auf einem erbrechtlichen Titel beruht. In solchen Fällen ist der Bestand und Inhalt des geltend gemachten Anspruchs nicht nach dem Erbstatut, sondern nach einem anderen vermögensrechtlichen Statut zu beurteilen und nur die Aktivlegitimation wird durch das Erbrecht im Sinne einer Vorfrage bestimmt ( BGE 135 III 185 E. 3.4.2 S. 191).</w:t>
      </w:r>
    </w:p>
    <w:p>
      <w:r>
        <w:rPr>
          <w:b/>
        </w:rPr>
        <w:t>E. 2.2</w:t>
      </w:r>
    </w:p>
    <w:p>
      <w:r>
        <w:t>Die Vorinstanz hielt fest, dass der Beschwerdeführer und der verstorbene Ehemann der Beschwerdegegnerin am 1. April 1997 bei der Sparkasse N.________ ein Nummerndepot eröffneten. Gemäss den Vorbringen der Beschwerdegegnerin habe der Beschwerdeführer dieses Depot am 19. Mai 2008 aufgelöst und die darin befindlichen Vermögenswerte im Betrag von EUR 365'505.60 an sich genommen. Die im Depot enthaltenen Vermögenswerte seien jedoch ausschliesslich im Eigentum ihres Ehemannes gestanden, weshalb die Beschwerdegegnerin nunmehr den ihr als Erbin zustehenden Anteil fordere. Demgegenüber mache der Beschwerdeführer geltend, er sei alleiniger Depotinhaber gewesen und das sich darin befindliche Geld stamme ausschliesslich von ihm.</w:t>
      </w:r>
    </w:p>
    <w:p>
      <w:r>
        <w:rPr>
          <w:b/>
        </w:rPr>
        <w:t>E. 2.3</w:t>
      </w:r>
    </w:p>
    <w:p>
      <w:r>
        <w:t>Gestützt auf diese Vorbringen hat die Vorinstanz zutreffend geschlossen, dass sich die Beschwerdegegnerin in ihrer Klage nicht auf einen erbrechtlichen Titel stützt, sondern einen Anspruch geltend macht, der bereits dem Erblasser gegenüber dem Beschwerdeführer am Depot zustand. Die Beschwerdegegnerin leitet mithin lediglich ihre Aktivlegitimation aus Erbrecht ab, stützt sich aber in der Hauptsache auf einen vermögensrechtlichen Titel, in den sie gemäss ihrer Darstellung causa mortis nachgefolgt ist. Die erbrechtliche Frage, ob und inwieweit die Beschwerdegegnerin tatsächlich in den Nachlass ihres Ehemannes sukzediert ist, bildet in der vorliegenden Auseinandersetzung lediglich eine Vorfrage, welche zuständigkeitsrechtlich irrelevant ist (vgl. SVEN RÜETSCHI, Vorfragen im schweizerischen Zivilprozess, Diss. Basel 2011, Rz. 181). Für den sachlichen Anwendungsbereich des LugÜ massgeblich ist die Hauptfrage, welche vorliegend nicht erbrechtlich ist. Die Vorinstanz ist damit zu Recht zum Schluss gelangt, dass die vorliegende vermögensrechtliche Auseinandersetzung nicht vom sachlichen Anwendungsbereich des LugÜ ausgenommen ist, womit das Bezirksgericht Luzern gestützt auf Art. 2 Ziff. 1 LugÜ international zuständig ist.</w:t>
      </w:r>
    </w:p>
    <w:p>
      <w:r>
        <w:rPr>
          <w:b/>
        </w:rPr>
        <w:t>E. 3</w:t>
      </w:r>
    </w:p>
    <w:p>
      <w:r>
        <w:t>Die Beschwerde erweist sich als offensichtlich unbegründet, soweit auf sie eingetreten werden kann, weshalb sie im Verfahren nach Art. 109 Abs. 2 lit. a BGG abzuweisen ist. Dem Ausgang des Verfahrens entsprechend wird der Beschwerdeführer kostenpflichtig ( Art. 66 Abs. 1 BGG ). Der Beschwerdegegnerin ist aus dem bundesgerichtlichen Verfahren kein Aufwand entstanden, weshalb ihr keine Parteientschädigung zusteht.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