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4A_343/2017 vom 1. Mai 2018</w:t>
      </w:r>
    </w:p>
    <w:p>
      <w:r>
        <w:t>Bundesgericht, 2018-05-01, FR</w:t>
      </w:r>
    </w:p>
    <w:p>
      <w:r>
        <w:rPr>
          <w:b/>
        </w:rPr>
        <w:t xml:space="preserve">Quelle: </w:t>
      </w:r>
      <w:r>
        <w:t>https://mcp.opencaselaw.ch/entscheid/bger_4A_343_2017</w:t>
      </w:r>
    </w:p>
    <w:p>
      <w:r>
        <w:t>FR: TF 4A_343/2017 du 1 mai 2018</w:t>
      </w:r>
    </w:p>
    <w:p>
      <w:r>
        <w:t>IT: TF 4A_343/2017 del 1 maggio 2018</w:t>
      </w:r>
    </w:p>
    <w:p>
      <w:pPr>
        <w:pStyle w:val="Heading2"/>
      </w:pPr>
      <w:r>
        <w:t>Erwägungen</w:t>
      </w:r>
    </w:p>
    <w:p>
      <w:r>
        <w:rPr>
          <w:b/>
        </w:rPr>
        <w:t>E. 1.1</w:t>
      </w:r>
    </w:p>
    <w:p>
      <w:r>
        <w:t>Interjeté en temps utile (art. 100 al. 1 et 45 al. 1 LTF) par la demanderesse qui a succombé dans ses conclusions en paiement ( art. 76 al. 1 LTF ), contre une décision finale ( art. 90 LTF ), prise sur appel par la Chambre civile de la Cour de justice de Genève ( art. 75 LTF ), dans une action en paiement ( art. 72 al. 1 LTF ), dont la valeur litigieuse est supérieure à 30'000 fr. ( art. 74 al. 1 let. b LTF ), le recours en matière civile est recevable.</w:t>
      </w:r>
    </w:p>
    <w:p>
      <w:r>
        <w:rPr>
          <w:b/>
        </w:rPr>
        <w:t>E. 1.2</w:t>
      </w:r>
    </w:p>
    <w:p>
      <w:r>
        <w:t>Le Tribunal fédéral statue sur la base des faits établis par l'autorité précédente ( art. 105 al. 1 LTF ). Il ne peut rectifier les constatations de l'autorité précédente que si elles sont manifestement inexactes, c'est-à-dire arbitraires ( ATF 140 III 115 consid. 2 p. 117; 135 III 397 consid. 1.5) ou ont été établies en violation du droit au sens de l' art. 95 LTF ( art. 105 al. 2 LTF ), et si la correction du vice est susceptible d'influer sur le sort de la cause ( art. 97 al. 1 LTF ). Le Tribunal fédéral se montre réservé en matière de constatations de fait et d'appréciation des preuves, vu le large pouvoir qu'il reconnaît en ce domaine aux autorités cantonales ( ATF 120 Ia 31 consid. 4b; 104 Ia 381 consid. 9 et les références).</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Pour chaque constatation de fait incriminée, elle doit démontrer comment les preuves administrées auraient dû, selon elle, être correctement appréciées et en quoi leur appréciation par l'autorité cantonale est insoutenable (arrêt 5A_621/2013 du 20 novembre 2014 consid. 2.1, non publié aux ATF 141 III 53 ). Les critiques de nature appellatoire sont irrecevables ( ATF 130 I 258 consid. 1.3 p. 261 s.).</w:t>
      </w:r>
    </w:p>
    <w:p>
      <w:r>
        <w:t>La partie qui souhaite obtenir un complètement de l'état de fait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w:t>
      </w:r>
    </w:p>
    <w:p>
      <w:r>
        <w:t>Si la critique ne satisfait pas à ces exigences, les allégations relatives à un état de fait qui s'écarterait de celui de la décision attaquée ne pourront pas être prises en considération ( ATF 140 III 16 consid. 1.3.1 p. 18).</w:t>
      </w:r>
    </w:p>
    <w:p>
      <w:r>
        <w:t>En l'occurrence, la recourante présente un résumé " des faits de la cause " (acte de recours p. 3 à 6), sans toutefois remettre en question, selon les exigences strictes posées par la LTF, l'état de fait dressé par la cour cantonale. Il n'y a donc pas lieu de s'écarter des constatations cantonales.</w:t>
      </w:r>
    </w:p>
    <w:p>
      <w:r>
        <w:rPr>
          <w:b/>
        </w:rPr>
        <w:t>E. 1.3</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 ATF 141 III 86 consid. 2 p. 88; 137 III 241 consid. 5; 137 III 580 consid. 1.3 p. 584), à moins que la violation du droit ne soit manifeste ( ATF 140 III 115 consid. 2 p. 116).</w:t>
      </w:r>
    </w:p>
    <w:p>
      <w:r>
        <w:rPr>
          <w:b/>
        </w:rPr>
        <w:t>E. 2</w:t>
      </w:r>
    </w:p>
    <w:p>
      <w:r>
        <w:t>En l'espèce, on ignore tout du contenu de l'entretien tenu le 3 septembre 2014 entre la mandataire et A.________. Le même jour, la mandataire a toutefois envoyé un courriel aux représentants de la société. Il s'agit d'en déterminer le sens. Les instances cantonales retiennent qu'on ne peut en déduire une quelconque intention de la défenderesse de résilier le mandat et que la demanderesse a en réalité elle-même décidé de mettre un terme à la relation contractuelle dans les (deux) jours qui ont suivi. De son côté, la demanderesse soutient que, dans ce courriel, la défenderesse a exprimé son intention de se " désengager " de manière unilatérale (cf. par exemple acte de recours ch. 36 et 38 p. 12).</w:t>
      </w:r>
    </w:p>
    <w:p>
      <w:r>
        <w:rPr>
          <w:b/>
        </w:rPr>
        <w:t>E. 2.1</w:t>
      </w:r>
    </w:p>
    <w:p>
      <w:r>
        <w:t>La résiliation (répudiation) est la manifestation de volonté unilatérale du mandataire, soit un acte formateur. La détermination de son sens et de sa portée s'effectue conformément aux principes généraux en matière d'interprétation des manifestations de volonté (arrêts 4A_347/2017 du 21 décembre 2017 consid. 5.2.1; 4A_321/2017 du 16 octobre 2017 consid. 4.3; 4A_196/2016 du 24 octobre 2016 consid. 3.1.2; ATF 121 III 6 consid. 3c p. 10).</w:t>
      </w:r>
    </w:p>
    <w:p>
      <w:r>
        <w:rPr>
          <w:b/>
        </w:rPr>
        <w:t>E. 2.1.1</w:t>
      </w:r>
    </w:p>
    <w:p>
      <w:r>
        <w:t>A cet égard, la volonté subjective des parties (soit, d'un côté, celui qui fait la déclaration et, de l'autre, celui qui la réceptionne) a la priorité sur la volonté objective ( ATF 123 III 35 consid. 2b p. 39).</w:t>
      </w:r>
    </w:p>
    <w:p>
      <w:r>
        <w:t>En procédure, le juge doit rechercher, dans un premier temps, la réelle et commune intention des parties (interprétation subjective), le cas échéant empiriquement, sur la base d'indices ( ATF 132 III 268 consid. 2.3.2, 626 consid. 3.1 p. 632;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celle qui fait l'objet du litige ou de faits postérieurs à celle-ci, en particulier le comportement ultérieur des parties établissant quelles étaient à l'époque les conceptions des parties elles-mêmes. L'appréciation de ces indices concrets par le juge, selon son expérience générale de la vie, relève du fait.</w:t>
      </w:r>
    </w:p>
    <w:p>
      <w:r>
        <w:t>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(arrêts 4A_635/2016 du 22 janvier 2018 consid. 5.2, destiné à la publication; 4A_262/2017 du 17 janvier 2018 consid. 4.2).</w:t>
      </w:r>
    </w:p>
    <w:p>
      <w:r>
        <w:rPr>
          <w:b/>
        </w:rPr>
        <w:t>E. 2.1.2</w:t>
      </w:r>
    </w:p>
    <w:p>
      <w:r>
        <w:t>Il n'y a pas place ici pour une application de la règle sur le fardeau de la preuve de l' art. 8 CC , car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(arrêt 4A_290/2017 du 12 mars 2018 consid. 5.1).</w:t>
      </w:r>
    </w:p>
    <w:p>
      <w:r>
        <w:t>Dans le cadre de l'interprétation normative, le juge recherche la volonté objective des parties, en déterminant le sens que, d'après les règles de la bonne foi, chacune d'elles pouvait et devait raisonnablement prêter aux déclarations de volonté de l'autre (principe de la confiance; arrêts 4A_635/2016 déjà cité consid. 5.2 et les arrêts cités; 4A_262/2017 déjà cité consid. 4.2).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(arrêt 4A_635/2016 déjà cité consid. 5.2.3; ATF 130 III 417 consid. 3.2 p. 424 et les arrêts cités; sur la justification, cf. déjà ATF 69 II 319 consid. 3 p. 322). 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(arrêt 4A_635/2016 déjà cité consid. 5.2.3 et l'arrêt cité).</w:t>
      </w:r>
    </w:p>
    <w:p>
      <w:r>
        <w:t>L' art. 8 CC ne joue de rôle que dans l'établissement des circonstances concrètes nécessaires pour l'interprétation de la volonté des parties (subjective ou objective) (arrêts 4A_635/2016 déjà cité consid. 5.1.1; 4A_290/2017 déjà cité consid. 5.1).</w:t>
      </w:r>
    </w:p>
    <w:p>
      <w:r>
        <w:rPr>
          <w:b/>
        </w:rPr>
        <w:t>E. 2.2</w:t>
      </w:r>
    </w:p>
    <w:p>
      <w:r>
        <w:t>En l'espèce, la cour cantonale n'indique pas explicitement avoir recherché la volonté subjective des parties. On comprend néanmoins, à la lecture du considérant 4.2 (arrêt entrepris p. 15) que la défenderesse n'avait pas l'intention (réelle) de résilier le mandat et qu'à ce propos l'administrateur président de la société demanderesse a adopté un comportement qui " tend à confirmer les déclarations de [la défenderesse] " (arrêt entrepris consid. 4.2 p. 15). La cour cantonale, qui a en outre pris en compte des circonstances postérieures à l'envoi du courriel du 3 septembre 2013, a bien établi la volonté subjective des parties.</w:t>
      </w:r>
    </w:p>
    <w:p>
      <w:r>
        <w:t>Force est de constater à cet égard que la recourante n'invoque pas l'arbitraire ( art. 9 Cst. ), ni ne fournit la moindre motivation permettant de comprendre en quoi la cour cantonale aurait sombré dans l'arbitraire ( art. 9 Cst. ) en établissant cette volonté subjective (acte de recours p. 10 à 14). Il n'y a donc pas lieu d'y revenir (cf. supra consid. 1.2).</w:t>
      </w:r>
    </w:p>
    <w:p>
      <w:r>
        <w:rPr>
          <w:b/>
        </w:rPr>
        <w:t>E. 2.3</w:t>
      </w:r>
    </w:p>
    <w:p>
      <w:r>
        <w:t>Sous un autre angle, la recourante soutient que, en raison d'empêchements juridiques, la défenderesse n'aurait de toute façon pas pu continuer à exécuter son mandat depuis l'étranger, ce qui démontrerait, selon elle, que le courriel litigieux ne peut être interprété que comme une résiliation du contrat de mandat.</w:t>
      </w:r>
    </w:p>
    <w:p>
      <w:r>
        <w:t>La recourante adopte un raisonnement sur la base de (prétendus) empêchements qui résulteraient de l'application de la réglementation légale protégeant les données personnelles (notamment la LPD), mais sans véritablement expliquer, en se conformant aux exigences strictes posées par la LTF, en quoi son argumentation permettrait de démontrer que la volonté subjective des parties aurait été établie arbitrairement. Le seul fait d'affirmer que la mandataire se trouverait dans l'impossibilité d'exécuter ses prestations contractuelles (pour des motifs juridiques) ne suffit pas, en soi, à démontrer qu'il était arbitraire de retenir que, dans l'intention des parties (cf. encore infra consid. 2.4), le courriel du 3 septembre 2013 ne valait pas résiliation du contrat. Il résulte d'ailleurs de l'arrêt entrepris que la mandataire avait précédemment exercé son activité professionnelle depuis l'étranger (Moscou et Grenoble) et qu'il n'a alors jamais été question que son contrat soit résilié pour ce motif.</w:t>
      </w:r>
    </w:p>
    <w:p>
      <w:r>
        <w:t>L'argumentation de la recourante contrevient en outre à l'exigence posée à l' art. 99 LTF (interdiction des faits nouveaux). Certes, cette disposition légale n'interdit pas de présenter, pour la première fois devant le Tribunal fédéral, une nouvelle argumentation juridique; celle-ci doit toutefois reposer entièrement sur l'état de fait qui lie le Tribunal fédéral, puisqu'il n'est pas admis de présenter des faits nouveaux ou des moyens de preuve nouveaux ( art. 99 al. 1 LTF ; ATF 134 III 643 consid. 5.3.2 p. 651). A cet égard, la recourante admet elle-même que, si le départ à l'étranger de l'intimée " compliquait à l'excès le traitement des données ", des mesures auraient néanmoins pu être mises en place afin de vérifier la sécurité des données traitées (acte de recours ch. 71). Cela étant, l'obstacle auquel fait référence la recourante ne résulte pas des exigences légales relatives à la protection des données, mais plutôt de la mise sur pied des mesures techniques nécessaires pour se conformer à ces règles. Or, l'arrêt entrepris ne contient aucune constatation au sujet de ces mesures, de sorte que, selon l' art. 99 LTF , l'argumentation de la recourante ne peut être examinée par la Cour de céans.</w:t>
      </w:r>
    </w:p>
    <w:p>
      <w:r>
        <w:t>La critique étant irrecevable, il est superflu d'examiner, au fond, la prétendue violation de l' art. 57 CPC , également invoquée par la recourante (acte de recours ch. 78 ss p. 19).</w:t>
      </w:r>
    </w:p>
    <w:p>
      <w:r>
        <w:rPr>
          <w:b/>
        </w:rPr>
        <w:t>E. 2.4</w:t>
      </w:r>
    </w:p>
    <w:p>
      <w:r>
        <w:t>Il résulte des considérations qui précédent que la défenderesse n'avait pas l'intention (réelle) de résilier son contrat de mandat et que la demanderesse avait (réellement) compris sa cocontractante. Partant, on ne saurait reprocher à la cour précédente d'avoir retenu que la fin du contrat (qui n'est en soi pas contestée) a été décidée par la demanderesse.</w:t>
      </w:r>
    </w:p>
    <w:p>
      <w:r>
        <w:t>La question de la résiliation en temps inopportun ne se posait pas. On ne saurait donc reprocher aux magistrats cantonaux d'avoir retenu que les prétentions élevées par la demanderesse étaient privées de fondement et il est superflu d'examiner les arguments qu'elle soulève en lien avec l'existence d'un dommage (arrêt entrepris consid. 4.2 p. 15 s.).</w:t>
      </w:r>
    </w:p>
    <w:p>
      <w:r>
        <w:rPr>
          <w:b/>
        </w:rPr>
        <w:t>E. 3</w:t>
      </w:r>
    </w:p>
    <w:p>
      <w:r>
        <w:t>Dans un grief distinct de celui visant la résiliation du mandat, la demanderesse reproche à la défenderesse d'avoir violé son devoir de diligence et de fidélité au cours de la relation contractuelle. Selon elle, la défenderesse avait le devoir d'établir des</w:t>
      </w:r>
    </w:p>
    <w:p>
      <w:r>
        <w:t>times dans le cadre de son activité professionnelle et, en ne respectant pas cette obligation, elle lui aurait créé un dommage. Elle invoque une violation des art. 57 et 151 CPC et des art. 97 et 398 al. 2 CO (en lien avec l' art. 321a al. 1 CO ), ainsi que du Règlement d'exécution genevois sur les agents intermédiaires (RAInt; RS/GE I 2 12.01).</w:t>
      </w:r>
    </w:p>
    <w:p>
      <w:r>
        <w:rPr>
          <w:b/>
        </w:rPr>
        <w:t>E. 3.1</w:t>
      </w:r>
    </w:p>
    <w:p>
      <w:r>
        <w:t>La cour cantonale n'a pas tranché la question de l'éventuelle obligation contractuelle de la défenderesse d'établir un décompte régulier de ses services, constatant que la mandante avait quoi qu'il en soit échoué à démontrer avoir subi un dommage de ce fait. Selon elle, l'absence de</w:t>
      </w:r>
    </w:p>
    <w:p>
      <w:r>
        <w:t>times ne saurait constituer un dommage</w:t>
      </w:r>
    </w:p>
    <w:p>
      <w:r>
        <w:t>ipso facto , mais il incombait encore à la demanderesse de prouver qu'elle était, de ce fait, dans l'impossibilité de facturer à ses propres clients les prestations fournies par la défenderesse contre rémunération. Or, la demanderesse ne pouvait apporter cette démonstration puisque les</w:t>
      </w:r>
    </w:p>
    <w:p>
      <w:r>
        <w:t>times n'avaient en l'occurrence pas pour vocation d'établir le coût des projets menés par la défenderesse, mais exclusivement de contrôler son activité (arrêt entrepris consid. 5.2 p. 16 s.).</w:t>
      </w:r>
    </w:p>
    <w:p>
      <w:r>
        <w:rPr>
          <w:b/>
        </w:rPr>
        <w:t>E. 3.2</w:t>
      </w:r>
    </w:p>
    <w:p>
      <w:r>
        <w:t>C'est de manière purement appellatoire que la recourante affirme tout d'abord que l'établissement de</w:t>
      </w:r>
    </w:p>
    <w:p>
      <w:r>
        <w:t>timessheets serait indispensable pour la facturation des clients. L'arrêt entrepris retient précisément le contraire et la recourante ne se conforme pas aux exigences de la LTF pour contester ce point de fait.</w:t>
      </w:r>
    </w:p>
    <w:p>
      <w:r>
        <w:t>C'est également en vain que la recourante, se prévalant de l' art. 151 CPC , prétend que l'utilité des</w:t>
      </w:r>
    </w:p>
    <w:p>
      <w:r>
        <w:t>timessheets à des fins de facturation est notoire. En l'occurrence, la question n'est pas de débattre de l'utilité des</w:t>
      </w:r>
    </w:p>
    <w:p>
      <w:r>
        <w:t>timessheets , mais de déterminer si leur absence empêchait la demanderesse de procéder à ses facturations (cf. infra consid. 3.3).</w:t>
      </w:r>
    </w:p>
    <w:p>
      <w:r>
        <w:rPr>
          <w:b/>
        </w:rPr>
        <w:t>E. 3.3</w:t>
      </w:r>
    </w:p>
    <w:p>
      <w:r>
        <w:t>Selon la recourante, la cour cantonale a arbitrairement ignoré l'art. 12 al. 1 RAInt qui impose pourtant à toute agence d'investigations d'établir un registre des opérations passées et des honoraires perçus, ce qui impliquerait nécessairement, pour elle et pour les personnes collaborant avec elle, de tenir des</w:t>
      </w:r>
    </w:p>
    <w:p>
      <w:r>
        <w:t>timessheets .</w:t>
      </w:r>
    </w:p>
    <w:p>
      <w:r>
        <w:t>Dans la disposition réglementaire évoquée, on ne discerne toutefois aucune obligation expresse qui imposerait à la défenderesse de tenir des</w:t>
      </w:r>
    </w:p>
    <w:p>
      <w:r>
        <w:t>timessheets . Il est exact que cette règle cantonale prévoit que l'agent intermédiaire (comme la société demanderesse) doit tenir un registre sur lequel sont inscrites chronologiquement toutes les opérations faites par l'agence et que les honoraires doivent également y figurer; pour ceux-ci, on peut toutefois retenir sans sombrer dans l'arbitraire que la disposition réglementaire n'oblige</w:t>
      </w:r>
    </w:p>
    <w:p>
      <w:r>
        <w:t>pas l'agence, pour chaque opération menée dans une affaire déterminée, d'inscrire dans le registre le temps consacré à l'opération en question et la part des honoraires précise y relative (exigences qui, elles, seraient susceptibles de rendre indispensable la tenue de</w:t>
      </w:r>
    </w:p>
    <w:p>
      <w:r>
        <w:t>timessheets ). La recourante ne fournit d'ailleurs aucun élément qui démontrerait l'arbitraire de cette interprétation.</w:t>
      </w:r>
    </w:p>
    <w:p>
      <w:r>
        <w:t>Cela étant, on ne saurait reprocher à la cour cantonale d'avoir tranché la question en retenant que le " budget " (compris dans le sens d'un forfait) était convenu à l'avance avec chaque client, qu'il était donc possible de faire figurer dans le registre, pour chaque client, le montant global des honoraires, comme l'exige le règlement cantonal et, partant, que les honoraires pouvaient parfaitement être facturés aux clients de la société (arrêt entrepris consid. 5.2 p. 17). Savoir comment la demanderesse pouvait contrôler les diverses activités menées par la défenderesse est une question distincte, qui n'a rien à voir avec le (prétendu) préjudice dont la mandante se prévaut.</w:t>
      </w:r>
    </w:p>
    <w:p>
      <w:r>
        <w:t>La critique se révèle dès lors infondée et les autres griefs de la recourante, qui présupposent un dommage causé par l'absence (fautive) de tenue de</w:t>
      </w:r>
    </w:p>
    <w:p>
      <w:r>
        <w:t>timessheets se révèlent dès lors dénués de toute pertinence.</w:t>
      </w:r>
    </w:p>
    <w:p>
      <w:r>
        <w:rPr>
          <w:b/>
        </w:rPr>
        <w:t>E. 4</w:t>
      </w:r>
    </w:p>
    <w:p>
      <w:r>
        <w:t>Il résulte des considérations qui précèdent que le recours en matière civile doit être rejeté dans la mesure où il est recevable.</w:t>
      </w:r>
    </w:p>
    <w:p>
      <w:r>
        <w:t>Les frais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