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4A_342/2024 vom 3. September 2024</w:t>
      </w:r>
    </w:p>
    <w:p>
      <w:r>
        <w:t>Bundesgericht, 2024-09-03, DE</w:t>
      </w:r>
    </w:p>
    <w:p>
      <w:r>
        <w:rPr>
          <w:b/>
        </w:rPr>
        <w:t xml:space="preserve">Quelle: </w:t>
      </w:r>
      <w:r>
        <w:t>https://mcp.opencaselaw.ch/entscheid/bger_4A_342_2024</w:t>
      </w:r>
    </w:p>
    <w:p>
      <w:r>
        <w:t>FR: TF 4A_342/2024 du 3 septembre 2024</w:t>
      </w:r>
    </w:p>
    <w:p>
      <w:r>
        <w:t>IT: TF 4A_342/2024 del 3 settembre 2024</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w:t>
      </w:r>
    </w:p>
    <w:p>
      <w:r>
        <w:rPr>
          <w:b/>
        </w:rPr>
        <w:t>E. 1.1</w:t>
      </w:r>
    </w:p>
    <w:p>
      <w:r>
        <w:t>Die Beschwerde an das Bundesgericht ist nur gegen Entscheide letzter kantonaler Instanzen zulässig ( Art. 75 Abs. 1, Art. 114 BGG ). Auf die Beschwerde ist daher von vornherein nicht einzutreten, soweit sie sich direkt gegen den Entscheid des Regionalgerichts Maloja vom 20. Juli 2023 richtet, da es sich dabei nicht um einen letztinstanzlichen Entscheid im Sinne von Art. 75 Abs. 1 BGG handelt.</w:t>
      </w:r>
    </w:p>
    <w:p>
      <w:r>
        <w:rPr>
          <w:b/>
        </w:rPr>
        <w:t>E. 1.2</w:t>
      </w:r>
    </w:p>
    <w:p>
      <w:r>
        <w:t>Neben dem Antrag um Aufhebung der streitgegenständlichen Betreibung, der im Lichte der Begründung und des Streitgegenstandes als Antrag um Abweisung des Rechtsöffnungsgesuchs der Beschwerdegegnerin auszulegen ist (vgl. BGE 137 III 617 E. 6) stellt der Beschwerdeführer zusätzliche materielle Anträge hinsichtlich der Einsicht in das Betreibungsregister, der Anerkennung zweier ausländischer Urteile und der Feststellung der Verjährung. Diese Anträge sind neu und somit offensichtlich unzulässig ( Art. 99 Abs. 2 BGG ). Darauf ist nicht einzutreten ( Art. 108 Abs. 1 lit. a BGG ).</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3</w:t>
      </w:r>
    </w:p>
    <w:p>
      <w:r>
        <w:t>Die Vorinstanz anerkannte vorfrageweise die Urteile des Landesgerichts Innsbruck vom 22. Februar 2018 sowie des Oberlandesgerichts Innsbruck vom 11. Juli 2018 als definitive Rechtsöffnungstitel. Es begründete dabei ausführlich, dass der Beschwerdeführer lediglich pauschal und ohne konkrete Hinweise die Echtheit insbesondere der Ausfertigung dieser Urteile und deren Vollstreckbarkeitsbescheinigungen bestritten habe. Dies genüge gemäss Vorinstanz nicht, die Vermutung der Echtheit dieser Urkunden umzustossen. Zudem würden die Vollstreckbarkeitsbescheinigungen den Anforderungen gemäss Art. 54 LugÜ entsprechen, wobei ohnehin Mängel an der Bescheinigung von vornherein keine Mängel der ihr zugrundeliegenden Entscheidung zu begründen vermöchten, die gestützt auf Art. 34 Ziff. 1 LugÜ der Anerkennung und Vollstreckung entgegenstehen würden. Kein Verstoss gegen den Ordre public erblickte die Vorinstanz darin, dass das Urteil des Oberlandesgerichts Innsbruck keine Rechtsmittelbelehrung enthalten habe. Auch der Einwand, dem Beschwerdeführer sei das Urteil des Oberlandesgerichts nur elektronisch zugestellt worden, stehe der Vollstreckbarerklärung nicht grundsätzlich entgegen, da durch das Vorlegen einer Vollstreckbarkeitsbescheinigung nach Art. 54 LugÜ kein Nachweis der Zustellung der zu vollstreckenden Entscheidung erforderlich sei. Schliesslich befasste sich die Vorinstanz ausführlich mit der erhobenen Einrede der Verjährung gestützt auf österreichisches Recht. Dem (im vorinstanzlichen Verfahren) anwaltlich vertretenen Beschwerdeführer gelinge es nicht, mit allgemeinen Verweisen auf offensichtlich für Laien zugeschnittene Informationen die Anwendbarkeit der behaupteten Verjährungsfrist nach österreichischem Recht glaubhaft zu machen; es wäre ihm möglich und zumutbar gewesen, die einschlägigen Rechtsquellen nachvollziehbar aufzuzeigen und zu begründen, weshalb vorliegend nicht die allgemeine dreissigjährige, sondern die besondere dreijährige Verjährungsfrist anwendbar sein solle. In einer Eventualbegründung erwog die Vorinstanz unter Bezugnahme auf die einschlägigen österreichischen Rechtsgrundlagen, dass es sich bei der in Betreibung gesetzten Forderung um eine Gewinnbeteiligung aus einem Grundstückkauf handle und deshalb aufgrund dieser Rechtsnatur die allgemeine dreissigjährige Verjährungsfrist anwendbar sei.</w:t>
      </w:r>
    </w:p>
    <w:p>
      <w:r>
        <w:rPr>
          <w:b/>
        </w:rPr>
        <w:t>E. 4</w:t>
      </w:r>
    </w:p>
    <w:p>
      <w:r>
        <w:t>Die Begründung des Beschwerdeführers genügt den Anforderungen an eine hinreichende Beschwerde vor dem Bundesgericht offensichtlich nicht; er verkennt durchgehend, dass das Bundesgericht keine Appellationsinstanz ist, die sämtliche Rechtsfragen und den Sachverhalt frei überprüft. Der Beschwerdeführer wiederholt - über weite Strecken wortwörtlich - einzig seinen bereits vorinstanzlich vorgetragenen Standpunkt, ohne zu bemerken, dass dies sich auf die erstinstanzliche Begründung bezieht. Eine hinreichende Auseinandersetzung mit der ausführlichen Begründung der Vorinstanz lässt er dabei gänzlich vermissen. Der Beschwerdeführer behauptet auch offensichtlich unzutreffend, dass die Frage der Verjährung nicht geprüft worden sei und sich die Vorinstanz ungenügend mit der Frage der Echtheit der Urkunden auseinandergesetzt habe.</w:t>
      </w:r>
    </w:p>
    <w:p>
      <w:r>
        <w:t>Auf die Beschwerde ist somit mangels hinreichender Begründung nicht einzutreten ( Art. 108 Abs. 1 lit. b BGG ).</w:t>
      </w:r>
    </w:p>
    <w:p>
      <w:r>
        <w:rPr>
          <w:b/>
        </w:rPr>
        <w:t>E. 5</w:t>
      </w:r>
    </w:p>
    <w:p>
      <w:r>
        <w:t>Das Gesuch um Gewährung der unentgeltlichen Rechtspflege für das bundesgerichtliche Verfahren ist bereits wegen Aussichtslosigkeit abzuweisen ( Art. 64 Abs. 1 BGG ). Der Beschwerdeführer wird bei diesem Verfahrensausgang kostenpflichtig ( Art. 66 Abs. 1 BGG ).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