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4A_342/2023 vom 5. Juni 2024</w:t>
      </w:r>
    </w:p>
    <w:p>
      <w:r>
        <w:t>Bundesgericht, 2024-06-05, FR</w:t>
      </w:r>
    </w:p>
    <w:p>
      <w:r>
        <w:rPr>
          <w:b/>
        </w:rPr>
        <w:t xml:space="preserve">Quelle: </w:t>
      </w:r>
      <w:r>
        <w:t>https://mcp.opencaselaw.ch/entscheid/bger_4A_342_2023</w:t>
      </w:r>
    </w:p>
    <w:p>
      <w:r>
        <w:t>FR: TF 4A_342/2023 du 5 juin 2024</w:t>
      </w:r>
    </w:p>
    <w:p>
      <w:r>
        <w:t>IT: TF 4A_342/2023 del 5 giugno 2024</w:t>
      </w:r>
    </w:p>
    <w:p>
      <w:pPr>
        <w:pStyle w:val="Heading2"/>
      </w:pPr>
      <w:r>
        <w:t>Erwägungen</w:t>
      </w:r>
    </w:p>
    <w:p>
      <w:r>
        <w:rPr>
          <w:b/>
        </w:rPr>
        <w:t>E. 1.1</w:t>
      </w:r>
    </w:p>
    <w:p>
      <w:r>
        <w:t>Aux termes de l' art. 76 al. 1 let. b LTF , a qualité pour former un recours en matière civile quiconque est particulièrement touché par la décision attaquée et a un intérêt digne de protection à son annulation ou sa modification.</w:t>
      </w:r>
    </w:p>
    <w:p>
      <w:r>
        <w:rPr>
          <w:b/>
        </w:rPr>
        <w:t>E. 1.1.1</w:t>
      </w:r>
    </w:p>
    <w:p>
      <w:r>
        <w:t>Les débiteurs solidaires sont des consorts simples (arrêts 4A_69/2018 du 12 février 2019 consid. 1.2 et les références; 4A_495/2007 du 12 janvier 2009 consid. 3.3).</w:t>
      </w:r>
    </w:p>
    <w:p>
      <w:r>
        <w:t>Lorsque le demandeur ouvre action contre des consorts simples, les prétentions dirigées contre eux sont indépendantes les unes des autres et la décision unique rendue contre eux contient matériellement autant de décisions qu'il y a de consorts simples. Les consorts simples demeurent indépendants les uns des autres ( art. 71 al. 3 CPC ) : l'attitude de l'un d'eux, notamment son recours, demeure sans influence sur la situation juridique des autres.</w:t>
      </w:r>
    </w:p>
    <w:p>
      <w:r>
        <w:t>Ainsi, lorsque deux codéfendeurs sont condamnés solidairement, qu'un seul d'entre eux interjette recours et qu'il est libéré par l'autorité de recours, l'autre débiteur se retrouve seul condamné (mêmes arrêts).</w:t>
      </w:r>
    </w:p>
    <w:p>
      <w:r>
        <w:t>Inversement, lorsque seul l'un des défendeurs est condamné, le demandeur a un intérêt à interjeter un recours contre la libération de l'autre consort, puisqu'il a succombé dans son action contre celui-ci et qu'il a ainsi perdu son droit à la condamnation solidaire de ses débiteurs. Il en va de même si l'un des débiteurs est libéré par un arrêt sur appel, puisque le demandeur succombe aussi dans son droit contre ce débiteur (sur le risque encouru par le demandeur qui agit contre des consorts simples, cf. FABIENNE HOHL, Procédure civile, T. I, 2016, n. 2375 ss).</w:t>
      </w:r>
    </w:p>
    <w:p>
      <w:r>
        <w:t>C'est le lieu de préciser qu'il ne faut pas confondre la consorité simple, notion du droit de procédure ( art. 71 CPC ), avec la solidarité, notion de droit matériel ( art. 143 ss CO ), ni la consorité simple ( art. 71 CPC ) avec la consorité nécessaire ( art. 70 CPC ), cette dernière dépendant en définitive du rapport de droit matériel. Les membres d'une société simple forment matériellement une communauté du droit civil sur le plan actif ( art. 544 al. 1 CO ; ATF 137 III 455 consid. 3.4) et doivent donc ouvrir action ensemble pour les biens et créances de la société simple, comme consorts nécessaires ( ATF 137 III 455 consid. 3.5; cf. HOHL, op. cit., n. 861 et 868); en revanche, sur le plan passif, c'est-à-dire pour ce qui concerne les dettes de la société simple, les associés sont solidairement responsables ( art. 544 al. 3 CO ) : le créancier peut choisir d'agir contre un seul, contre plusieurs d'entre eux ou contre tous; s'il agit contre plusieurs d'entre eux ou contre tous, les défendeurs forment une consorité simple passive (HOHL, op. cit., n. 874 et 876, n. 946 s.).</w:t>
      </w:r>
    </w:p>
    <w:p>
      <w:r>
        <w:rPr>
          <w:b/>
        </w:rPr>
        <w:t>E. 1.1.2</w:t>
      </w:r>
    </w:p>
    <w:p>
      <w:r>
        <w:t>En l'espèce, le premier jugement a condamné solidairement les deux défendeurs. L'arrêt sur appel a libéré le défendeur n° 2, de sorte que la demanderesse a succombé dans son droit contre celui-ci. Elle a donc un intérêt au recours en matière civile au sens de l' art. 76 al. 1 let. b LTF . L'exception d'irrecevabilité soulevée par l'intimé défendeur n° 2 doit donc être rejetée.</w:t>
      </w:r>
    </w:p>
    <w:p>
      <w:r>
        <w:rPr>
          <w:b/>
        </w:rPr>
        <w:t>E. 1.2</w:t>
      </w:r>
    </w:p>
    <w:p>
      <w:r>
        <w:t>Interjeté en temps utile ( art. 100 al. 1 LTF ), contre une décision finale ( art. 90 LTF ), rendue sur appel par le tribunal supérieur du canton du Valais ( art. 75 LTF ) dans une affaire de contrat d'entreprise ( art. 72 al. 1 LTF ), dont la valeur litigieuse atteint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Saisi d'un recours en matière civile,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Préalablement, il s'impose de clarifier la situation née de l'articulation des voies de recours et de leur utilisation par les parties.</w:t>
      </w:r>
    </w:p>
    <w:p>
      <w:r>
        <w:rPr>
          <w:b/>
        </w:rPr>
        <w:t>E. 3.1</w:t>
      </w:r>
    </w:p>
    <w:p>
      <w:r>
        <w:t>Le jugement de première instance a condamné solidairement les deux défendeurs à payer à la demanderesse le montant de 219'218 fr. avec intérêts à 5 % l'an dès le 30 décembre 2013.</w:t>
      </w:r>
    </w:p>
    <w:p>
      <w:r>
        <w:t>Seul le défendeur n° 2 a formé un appel contre ce jugement. Le défendeur n° 1 n'en a pas appelé, à titre principal. Il ne pouvait le remettre en cause en formant un appel joint sur l'appel du défendeur n° 2, un appel joint ne pouvant être dirigé que contre l'appel de sa partie adverse ( art. 313 al. 1 CPC ), en l'occurrence la demanderesse. En effet, les prétentions dirigées contre des consorts simples sont indépendantes les unes des autres (cf. consid. 1.1.1 ci-dessus). En l'occurrence, même si elles étaient jointes dans la même demande, une action de la demanderesse était dirigée contre le défendeur n° 2 et une autre action de la demanderesse était dirigée contre le défendeur n° 1, l'action dirigée contre la société D.________ SA ayant été disjointe. Un appel joint du défendeur n° 1 n'aurait pu se concevoir que contre un appel que la demanderesse aurait formé, à supposer qu'elle y ait eu un intérêt. Le premier jugement est donc entré en force de chose jugée en ce qui concerne le défendeur n° 1.</w:t>
      </w:r>
    </w:p>
    <w:p>
      <w:r>
        <w:rPr>
          <w:b/>
        </w:rPr>
        <w:t>E. 3.2</w:t>
      </w:r>
    </w:p>
    <w:p>
      <w:r>
        <w:t>L'arrêt sur appel a libéré le défendeur n° 2. La demanderesse forme un recours en matière civile contre cette libération.</w:t>
      </w:r>
    </w:p>
    <w:p>
      <w:r>
        <w:t>Comme le premier jugement est entré en force de chose jugée en ce qui concerne le défendeur n° 1, celui-ci ne saurait prendre de conclusions tendant à sa propre libération. En l'occurrence, il ne fait que s'en remettre à justice.</w:t>
      </w:r>
    </w:p>
    <w:p>
      <w:r>
        <w:rPr>
          <w:b/>
        </w:rPr>
        <w:t>E. 4</w:t>
      </w:r>
    </w:p>
    <w:p>
      <w:r>
        <w:t>La recourante soutient que la cour cantonale n'a pas examiné si l'appel du défendeur n° 2 était suffisamment motivé, ce qu'elle aurait pourtant dû faire d'office, et partant qu'elle aurait violé l' art. 311 CPC .</w:t>
      </w:r>
    </w:p>
    <w:p>
      <w:r>
        <w:t>Ce grief est infondé. La cour cantonale a expressément discuté la recevabilité de l'appel et l'a motivée en page 5, 3e paragraphe, en considérant que, même si la motivation de l'appel s'apparente plutôt à une discussion générale du premier jugement, on comprend que l'appelant conteste être partie au contrat d'entreprise et, partant, devoir payer un quelconque montant à la demanderesse.</w:t>
      </w:r>
    </w:p>
    <w:p>
      <w:r>
        <w:t>Si l'appel doit être motivé ( art. 311 al. 1 CPC ), cette exigence ne limite pas le pouvoir d'examen de la cour d'appel, même si cette dernière peut se contenter d'examiner les griefs régulièrement soulevés ( ATF 144 III 394 consid. 4.1.4; 138 III 374 consid. 4.3.1). Dès lors qu'une question est discutée par les parties, la cour d'appel doit appliquer le droit d'office ( art. 57 CPC en lien avec l' art. 310 CPC ). Si elle décèle une violation du droit fédéral, elle doit la corriger; elle n'est pas liée par les motifs invoqués par les parties.</w:t>
      </w:r>
    </w:p>
    <w:p>
      <w:r>
        <w:t>On relève que, dans son recours en matière civile, la recourante n'a d'ailleurs pu formuler aucun chef de conclusions en relation avec ce grief.</w:t>
      </w:r>
    </w:p>
    <w:p>
      <w:r>
        <w:rPr>
          <w:b/>
        </w:rPr>
        <w:t>E. 5</w:t>
      </w:r>
    </w:p>
    <w:p>
      <w:r>
        <w:t>Seule demeure litigieuse la question de savoir si le défendeur n° 2 est aussi le débiteur du solde des factures de la société demanderesse du montant de 219'218 fr. avec intérêts à 5 % l'an dès le 30 décembre 2013 et, partant, si les deux défendeurs en sont solidairement responsables vis-à-vis de la demanderesse en vertu de l' art. 544 al. 3 CO .</w:t>
      </w:r>
    </w:p>
    <w:p>
      <w:r>
        <w:rPr>
          <w:b/>
        </w:rPr>
        <w:t>E. 5.1</w:t>
      </w:r>
    </w:p>
    <w:p>
      <w:r>
        <w:t>Pour déterminer si un contrat a été conclu, quels en sont les cocontractants et quel en est le contenu, la volonté des parties est déterminante (art. 18 al. 1 et 19 al. 1 CO; en matière de contrat de société, cf. ATF 124 III 363 consid. II/2a).</w:t>
      </w:r>
    </w:p>
    <w:p>
      <w:r>
        <w:t>Conformément aux principes généraux dégagés par la jurisprudence, il faut procéder à l'interprétation des manifestations de volonté des parties en deux phases, deux fondements légaux pouvant entrer en jeu, à savoir la réelle et commune intention des parties ( art. 18 al. 1 CO ), qui a pour fondement ce que les parties ont réellement voulu, et, subsidiairement, le principe de la confiance ( art. 1 al. 1 CO en relation avec l' art. 2 CC ), qui a pour but la protection de la sécurité des transactions (sur ces principes généraux, cf. ATF 144 III 93 consid. 5.2.2 et 5.2.3; arrêt 4A_643/2020 précité consid. 4). Le moment déterminant pour établir quelle était la volonté des parties est celui de la conclusion du contrat (arrêt 4A_508/2016 du 16 juin 2017 consid. 6.2.2 et 6.4, non publiés aux ATF 143 III 348 ).</w:t>
      </w:r>
    </w:p>
    <w:p>
      <w:r>
        <w:rPr>
          <w:b/>
        </w:rPr>
        <w:t>E. 5.1.1</w:t>
      </w:r>
    </w:p>
    <w:p>
      <w:r>
        <w:t>En premier lieu, le juge doit rechercher la réelle et commune intention des parties conformément à l' art. 18 al. 1 CO ,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 arrêt 4A_643/2020 précité consid. 4.2.1).</w:t>
      </w:r>
    </w:p>
    <w:p>
      <w:r>
        <w:rPr>
          <w:b/>
        </w:rPr>
        <w:t>E. 5.1.2</w:t>
      </w:r>
    </w:p>
    <w:p>
      <w:r>
        <w:t>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 ATF 144 III 93 consid. 5.2.3). Il doit déterminer le sens que, d'après les règles de la bonne foi, chacune des parties pouvait et devait raisonnablement prêter aux déclarations de volonté de l'autre ( art. 1 al. 1 CO en relation avec l' art. 2 al. 1 CC ).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 ATF 144 III 93 consid. 5.2.3 et les arrêts cités; arrêt 4A_643/2020 précité consid. 4.2.2 et 4.2.5 et les références à la doctrine). En effet, s'il s'agit de déterminer le sens qu'une partie raisonnable aurait donné à la déclaration ou attitude de son cocontractant en tenant compte de toutes les circonstances contextuelles, on ne peut prendre en considération que les faits que les parties connaissaient ou pouvaient connaître au moment où le contrat est venu à chef, à l'exclusion des faits qui se sont produits postérieurement (arrêt 4A_643/2020 précité consid. 4.2.3 point 4; ATF 107 II 417 consid. 6).</w:t>
      </w:r>
    </w:p>
    <w:p>
      <w:r>
        <w:rPr>
          <w:b/>
        </w:rPr>
        <w:t>E. 5.1.3</w:t>
      </w:r>
    </w:p>
    <w:p>
      <w:r>
        <w:t>Autrement dit, lorsque le juge a tenu compte de faits postérieurs à la conclusion du contrat pour interpréter la volonté des parties, il a en réalité constaté leur volonté réelle et commune. Son appréciation lie le Tribunal fédéral ( art. 105 al. 1 LTF ; arrêt 4A_643/2020 précité consid. 4.2.3 point 5), à moins que le recourant n'en démontre l'arbitraire (art. 97 al. 1 et 106 al. 2 LTF; art. 9 Cst. ).</w:t>
      </w:r>
    </w:p>
    <w:p>
      <w:r>
        <w:rPr>
          <w:b/>
        </w:rPr>
        <w:t>E. 5.2</w:t>
      </w:r>
    </w:p>
    <w:p>
      <w:r>
        <w:t>La qualification juridique de la relation créée, en fonction des contrats définis par la loi, la jurisprudence ou la doctrine, intervient lorsque l'application d'une norme impérative de la loi est en jeu ou qu'il s'agit de rechercher une disposition supplétive pour résoudre une question que les parties n'ont pas réglée (arrêts 4A_334/2023 du 13 mars 2024 consid. 3.1; 4A_502/2022 du 12 septembre 2023 consid. 4.1; 4C.290/2002 du 14 janvier 2003 consid. 2.2; cf. TERCIER/BIERI/CARRON, Les contrats spéciaux, 5e éd. 2016, n. 254 ss; BERNARD CORBOZ, La réception du contrat par le juge: la qualification, l'interprétation et le complètement, in Le contrat dans tous ses états, 2004, p. 270).</w:t>
      </w:r>
    </w:p>
    <w:p>
      <w:r>
        <w:t>Il résulte des constatations de l'arrêt attaqué que la demanderesse fait valoir que son cocontractant est une société simple formée du défendeur n° 2 et du défendeur n° 1, lesquels seraient engagés solidairement envers elle, alors que le défendeur n° 2 soutient que le cocontractant de la demanderesse est uniquement la société du défendeur n° 1 ou alors celui-ci à titre privé. Il y a donc lieu d'examiner si les défendeurs ont formé une société simple ou une autre société.</w:t>
      </w:r>
    </w:p>
    <w:p>
      <w:r>
        <w:rPr>
          <w:b/>
        </w:rPr>
        <w:t>E. 5.2.1</w:t>
      </w:r>
    </w:p>
    <w:p>
      <w:r>
        <w:t>La société simple est un contrat par lequel deux ou plusieurs personnes conviennent d'unir leurs efforts ou leurs ressources en vue d'atteindre un but commun ( art. 530 al. 1 CO ). Lorsqu'une société n'offre pas les caractères distinctifs d'une des autres sociétés réglées par la loi, elle est une société simple au sens des art. 530 à 551 CO ( art. 530 al. 2 CO ).</w:t>
      </w:r>
    </w:p>
    <w:p>
      <w:r>
        <w:t>Le contrat de société simple obéit aux règles générales sur la conclusion des contrats. Deux éléments le caractérise: l'apport, soit la prestation que chaque associé doit faire au profit de la société ( art. 531 al. 1 CO ) et le but commun (</w:t>
      </w:r>
    </w:p>
    <w:p>
      <w:r>
        <w:t>animus societatis ) ( ATF 137 III 455 consid. 3.1). La qualification juridique de société simple ne dépend pas de la dénomination que les parties lui ont donnée; un contrat de société simple existe même si les parties ne connaissaient pas la qualification correcte de leur relation (arrêt 4A_491/2010 du 30 août 2011 consid. 2.3, non publié aux ATF 137 III 455 ; ATF 124 III 363 consid. II/2a; 116 II 707 consid. 2a; arrêts 4A_383/2007 du 19 décembre 2007 consid. 3.1; 4C.24/2000 du 20 mars 2000 consid. 3d). Le contrat de société simple n'est soumis à aucune forme et peut donc être passé par actes concluants ( ATF 124 III 363 consid. II/2a; 116 II 707 consid. 2a; TERCIER/BIERI/CARRON, op. cit., n. 6896). Toutefois, pour qu'un tel contrat vienne à chef, il faut qu'au moins l'un des associés présumés ait eu la volonté de se lier juridiquement, car il n'est pas imaginable qu'un rapport contractuel naisse entre des parties alors qu'aucune d'elles ne le veut (arrêt 4A_488/2022 du 12 mai 2023 consid. 4.1 et les arrêts cités).</w:t>
      </w:r>
    </w:p>
    <w:p>
      <w:r>
        <w:rPr>
          <w:b/>
        </w:rPr>
        <w:t>E. 5.2.1.1</w:t>
      </w:r>
    </w:p>
    <w:p>
      <w:r>
        <w:t>Dans les rapports entre les associés, l' art. 543 al. 3 CO protège l'associé chargé d'administrer la société simple dans la confiance que lui accordent ses coassociés en le chargeant de l'administrer et de la représenter à l'égard des tiers. Le rapport de confiance (</w:t>
      </w:r>
    </w:p>
    <w:p>
      <w:r>
        <w:t>Vertrauensgrundlage ) qui justifie la présomption repose sur les conventions internes entre les associés - expresses ou tacites - relatives à l'administration de la société (cf. art. 535 CO ) ( ATF 124 III 355 consid. 4a).</w:t>
      </w:r>
    </w:p>
    <w:p>
      <w:r>
        <w:rPr>
          <w:b/>
        </w:rPr>
        <w:t>E. 5.2.1.2</w:t>
      </w:r>
    </w:p>
    <w:p>
      <w:r>
        <w:t>Dans les rapports externes, c'est-à-dire vis-à-vis des tiers, l' art. 544 al. 3 CO rend les associés solidairement responsables des engagements qu'ils ont assumés envers les tiers, en agissant conjointement ou par l'entremise d'un représentant; toutes conventions contraires sont réservées.</w:t>
      </w:r>
    </w:p>
    <w:p>
      <w:r>
        <w:t>La responsabilité solidaire prévue par cet art. 544 al. 3 CO existe évidemment lorsque l'existence effective d'une société simple est établie ( ATF 116 II 707 consid. 1b</w:t>
      </w:r>
    </w:p>
    <w:p>
      <w:r>
        <w:t>in fine ). Toutefois, l'apparence d'une société simple (</w:t>
      </w:r>
    </w:p>
    <w:p>
      <w:r>
        <w:t>Anschein ) constitue aussi une circonstance qui permet à un tiers cocontractant d'admettre, en vertu du principe de la confiance, un engagement solidaire de ses cocontractants ( ATF 116 II 707 consid. 1b</w:t>
      </w:r>
    </w:p>
    <w:p>
      <w:r>
        <w:t>in fine ). En effet, le principe de la confiance (</w:t>
      </w:r>
    </w:p>
    <w:p>
      <w:r>
        <w:t>Vertrauensprinzip ), en particulier l'apparence juridique créée par les intéressés (principe de l'apparence efficace;</w:t>
      </w:r>
    </w:p>
    <w:p>
      <w:r>
        <w:t>Rechtsschein ), est également valable dans le droit des sociétés ( ATF 124 III 363 consid. II/2a; 116 II 707 consid. 1b; arrêts 4A_488/2022 précité consid. 4.2; 4A_513/2015 du 13 avril 2016 consid. 3.1; 4C.24/2000 précité consid. 4a). Or, puisque l' art. 543 al. 3 CO protège la confiance que le tiers peut avoir dans le fait que l'associé, qui a été chargé d'administrer la société (</w:t>
      </w:r>
    </w:p>
    <w:p>
      <w:r>
        <w:t>wer die Geschäftsführung hat ), a aussi le pouvoir de représenter celle-ci envers les tiers (</w:t>
      </w:r>
    </w:p>
    <w:p>
      <w:r>
        <w:t>hat auch die Vertretungsmacht ) et qu'en vertu de l' art. 535 al. 1 CO , tous les associés ont le droit d'administrer la société, sauf convention contraire, il suffit qu'un seul des associés manifeste agir au nom de la société de telle façon que le tiers puisse en déduire, selon les règles de la bonne foi, que celui-là a le droit d'administrer et, partant, le pouvoir de représenter la société. Autrement dit, si, au vu du comportement des associés, un tiers peut admettre que l'associé agissant pour la société a le pouvoir d'administrer, les coassociés ne peuvent objecter que l'associé se déclarant représentant de la société n'avait en réalité pas le pouvoir de l'administrer et, partant, le pouvoir de la représenter ( ATF 124 III 355 consid. 4a). Pour que la confiance du tiers dans l'apparence créée soit protégée, il faut que le comportement des associés présumés manifeste de manière suffisamment claire une participation à une telle société (arrêts 4A_488/2022 précité consid. 4.2; 4A_253/2017 du 18 juin 2018 consid. 4.1; 4A_513/2015 précité consid. 3.1; 4C.198/2001 du 3 décembre 2001 consid. 7).</w:t>
      </w:r>
    </w:p>
    <w:p>
      <w:r>
        <w:rPr>
          <w:b/>
        </w:rPr>
        <w:t>E. 5.2.2</w:t>
      </w:r>
    </w:p>
    <w:p>
      <w:r>
        <w:t>La société tacite (</w:t>
      </w:r>
    </w:p>
    <w:p>
      <w:r>
        <w:t>stille Gesellschaft ) est une forme particulière de société. Le contrat de société tacite se caractérise par le fait qu'une ou plusieurs personne (s) (l'associé occulte) participe (nt) à l'activité économique ou juridique d'une autre personne (l'associé apparent), mais sans apparaître à l'égard des tiers. L'élément communautaire existe sur le plan interne, mais il est volontairement exclu sur le plan externe (arrêt 4A_21/2011 du 4 avril 2011 consid. 3.3.1; ATF 124 III 363 consid. II/2a; TERCIER/BIERI/CARRON, op. cit., n. 6868).</w:t>
      </w:r>
    </w:p>
    <w:p>
      <w:r>
        <w:rPr>
          <w:b/>
        </w:rPr>
        <w:t>E. 5.2.2.1</w:t>
      </w:r>
    </w:p>
    <w:p>
      <w:r>
        <w:t>Dans les rapports internes, l'associé occulte et l'associé apparent ont bien l'</w:t>
      </w:r>
    </w:p>
    <w:p>
      <w:r>
        <w:t>animus societatis , soit la volonté d'unir leurs efforts ou leurs ressources en vue d'atteindre un but commun. Les relations entre les associés dépendent principalement du contenu de l'accord qu'ils ont passé.</w:t>
      </w:r>
    </w:p>
    <w:p>
      <w:r>
        <w:rPr>
          <w:b/>
        </w:rPr>
        <w:t>E. 5.2.2.2</w:t>
      </w:r>
    </w:p>
    <w:p>
      <w:r>
        <w:t>Dans les rapports externes, la société tacite n'apparaît pas. L'associé apparent est seul titulaire des droits réels sur les biens sociaux, y compris la propriété des apports de l'associé occulte. A l'égard des tiers, il agit en son nom et pour son propre compte; l'associé occulte ne la représente pas, puisqu'il ne veut pas être engagé; l' art. 543 al. 2-3 CO ne s'applique pas. L'associé occulte ne répond pas de dettes de la société envers les tiers; l' art. 544 al. 3 CO ne s'applique pas. L'associé apparent répond seul des dettes de la société ( ATF 81 II 520 consid. 2; TERCIER/BIERI/CARRON, op. cit., n. 6868 ss; ROBERT PATRY, Précis de droit suisse des sociétés, T. I, 1976, p. 204; FELLMANN/MÜLLER, Berner Kommentar, 2006, n. 289 ss et 319 ss ad art. 530 CO ).</w:t>
      </w:r>
    </w:p>
    <w:p>
      <w:r>
        <w:t>Selon la jurisprudence, le tiers qui traite avec un associé occulte ne peut s'en prendre à celui-ci, même si ce dernier a participé aux pourparlers qui ont conduit à la conclusion du contrat, s'il sait que celui-ci n'entendait pas pour autant sortir du rôle occulte qu'il s'était assigné dans le rapport social ( ATF 81 II 520 consid. 2). En revanche, si l'associé occulte intervient ouvertement auprès du tiers en qualité d'associé, le tiers doit être protégé dans la confiance de l'apparence ainsi créée et l'associé occulte doit alors répondre solidairement d'une dette de la société ( art. 544 al. 3 CO ; TERCIER/BIERI/CARRON, op. cit., n. 6876 et 7044; PATRY, op. cit., p. 204; FELMANN/MÜLLER, op. cit., n. 345 ad art. 530 CO ).</w:t>
      </w:r>
    </w:p>
    <w:p>
      <w:r>
        <w:rPr>
          <w:b/>
        </w:rPr>
        <w:t>E. 5.3</w:t>
      </w:r>
    </w:p>
    <w:p>
      <w:r>
        <w:t>En l'espèce, il faut donc examiner si, au regard des faits constatés, il y a lieu d'admettre que les parties ont conclu une société simple ou une société tacite.</w:t>
      </w:r>
    </w:p>
    <w:p>
      <w:r>
        <w:rPr>
          <w:b/>
        </w:rPr>
        <w:t>E. 5.3.1</w:t>
      </w:r>
    </w:p>
    <w:p>
      <w:r>
        <w:t>Il faut concéder à la recourante que, sur le plan interne, les deux défendeurs se sont bien liés par un contrat de société simple pour la promotion du projet E.________, ainsi que cela ressort des considérants de l'arrêt cantonal reproduits ci-dessus (Faits A.c). Ils ont acheté les terrains pour faire cette promotion. Selon accord entre eux, la société du défendeur n° 2, dont ce dernier est l'unique gérant et associé, est partenaire de la promotion à hauteur de 50 % avec le défendeur n° 1, c'est-à-dire que le 50 % du bénéfice total lui revient. La société du défendeur n° 2 met à disposition de la promotion toutes ses relations d'affaires et connaissances techniques. Un compte a été ouvert pour la promotion auprès de la (...), au nom du défendeur n° 1, sur lequel le défendeur n° 2 et sa société ont versé respectivement 3'617'585 fr. et 4'600'000 fr.</w:t>
      </w:r>
    </w:p>
    <w:p>
      <w:r>
        <w:rPr>
          <w:b/>
        </w:rPr>
        <w:t>E. 5.3.2</w:t>
      </w:r>
    </w:p>
    <w:p>
      <w:r>
        <w:t>Le fait qu'une société simple existe sur le plan interne ne signifie pas encore qu'elle le soit sur le plan externe, en l'occurrence à l'égard de la demanderesse.</w:t>
      </w:r>
    </w:p>
    <w:p>
      <w:r>
        <w:t>Il ressort des faits retenus par la cour cantonale que, au moment de la conclusion du contrat oral avec la demanderesse, soit avant ou après le repas d'octobre 2011, une date précise n'ayant pas été constatée, le défendeur n° 1 était seul propriétaire des deux parcelles et seul titulaire du compte (...) de la promotion. L'adjudication des travaux à la demanderesse a été faite par D.________ SA ou par le défendeur n° 1, en son nom et pour son compte, fait dont la démonstration de l'arbitraire n'a pas été tentée par la recourante. Cette situation juridique est corroborée par le fait que, ultérieurement, aucun document ne mentionnera jamais le nom du défendeur n° 2 en lien avec la promotion, que les procès-verbaux de chantier seront établis au nom du défendeur n° 1 et de sa société, que c'est celui-ci qui requerra des délais de paiement pour le solde des travaux et qu'il dira à plusieurs reprises au directeur de la demanderesse qu'il le paiera lorsqu'il sera lui-même payé par le défendeur n° 2. La cour a également constaté, sans qu'il lui soit reproché un quelconque arbitraire à cet égard, que les deux défendeurs n'ont jamais évoqué une quelconque association entre eux devant des tiers, à tout le moins pas devant le directeur de la demanderesse ou les employés de celle-ci.</w:t>
      </w:r>
    </w:p>
    <w:p>
      <w:r>
        <w:t>Au vu de ces faits, force est donc d'admettre que les deux défendeurs n'ont pas manifesté à l'égard de la demanderesse qu'ils formaient à son égard une société simple, au point qu'il faudrait l'admettre en vertu du principe de la confiance ou de l'apparence efficace. Ils ont formé une société tacite, le défendeur n° 1 en qualité d'associé apparent et le défendeur n° 2 en qualité d'associé occulte puisqu'il ne souhaitait pas apparaître à l'extérieur. La demanderesse n'ignorait pas que celui-ci ne voulait pas s'engager dans des rapports externes dès lors que, comme elle le rappelle à plusieurs reprises dans son recours au Tribunal fédéral, le défendeur n° 2 n'était pas autorisé, en tant que riche étranger, à intervenir comme promoteur dans cette affaire en raison de la LFAIE, avant d'avoir un permis de séjour en Suisse. Comme le précise la jurisprudence, le fait que le défendeur n° 2 ait participé à des pourparlers lors de repas en 2011 et qu'il connaissait le directeur de la demanderesse et les employés de celle-ci ne suffit pas pour admettre qu'en dépit de son statut en Suisse, le défendeur n° 2 aurait manifesté la volonté de s'engager vis-à-vis des tiers, en particulier de la demanderesse. On relève enfin que, dans sa demande initiale, la demanderesse n'a jamais évoqué que les défendeurs auraient constitué une société simple et qu'elle n'a invoqué cette construction juridique qu'en cours de procédure.</w:t>
      </w:r>
    </w:p>
    <w:p>
      <w:r>
        <w:t>Il s'ensuit que l' art. 544 al. 3 CO ne s'applique pas et que le recours doit être rejeté par substitution des motifs qui précèdent.</w:t>
      </w:r>
    </w:p>
    <w:p>
      <w:r>
        <w:rPr>
          <w:b/>
        </w:rPr>
        <w:t>E. 5.3.3</w:t>
      </w:r>
    </w:p>
    <w:p>
      <w:r>
        <w:t>Les objections soulevées par la demanderesse n'y changent rien.</w:t>
      </w:r>
    </w:p>
    <w:p>
      <w:r>
        <w:t>Le fait que le chalet n'aurait pas été vendu clé en main par le défendeur n° 1 au défendeur n° 2 est sans incidence. En effet, les ventes, tout d'abord de la première parcelle (chalet) et de la moitié de la seconde (centre de bien-être) n'ayant eu lieu que le 22 juin 2012, puis celle de la deuxième moitié de cette seconde parcelle n'étant intervenue que le 24 juin 2014, qui n'ont d'ailleurs pas été portées à la connaissance de la demanderesse, et partant le fait que le défendeur n° 2 était l'acheteur final, n'exercent aucune influence sur le résultat retenu ci-dessus. Il en va de même des considérations de la cour cantonale, critiquées par la recourante, selon lesquelles les deux défendeurs auraient plutôt été liés par un contrat d'entreprise générale, la société D.________ ou le défendeur n° 1 étant le promoteur et le défendeur n° 2 étant l'acheteur final. Quant au fait que le défendeur n° 2 fut au bénéfice d'un accès e-banking sur le compte de la promotion, outre qu'il ne ressort pas des faits constatés, n'étonne pas puisque les défendeurs formaient vis-à-vis de l'extérieur une société tacite. Les interventions du défendeur n° 2 au cours du chantier, surtout à la fin, ses demandes de réparation sont largement postérieures à la conclusion du contrat. Or, rien dans l'arrêt n'indique que les parties seraient convenues d'une modification ou cession du contrat d'entreprise initial au défendeur n° 2.</w:t>
      </w:r>
    </w:p>
    <w:p>
      <w:r>
        <w:t>Lors de la remise des factures finales, le défendeur n° 1 a d'ailleurs informé la demanderesse qu'il n'admettait le solde que pour 199'000 fr., les travaux de l'appartement devant être facturés directement au défendeur n° 2. La demanderesse a donc été encore rendue attentive au fait que les deux contrats étaient séparés. En tant qu'entrepreneur, la demanderesse pouvait demander une hypothèque légale des artisans et entrepreneurs, ce qu'elle n'a pas fait.</w:t>
      </w:r>
    </w:p>
    <w:p>
      <w:r>
        <w:t>Enfin, lorsqu'elle soutient qu'elle aurait été liée au seul défendeur n° 2, la recourante méconnaît que cette déclaration est en contradiction avec les faits constatés. En effet, comme on vient de le voir, lorsqu'elle a effectué des travaux pour le défendeur n° 2 dans son appartement du F.________, elle a été informée qu'elle devait les facturer directement au défendeur n° 2 et celui-ci en a lui-même acquitté le prix. La cour cantonale en a déduit à raison que la demanderesse avait donc bien dû réaliser qu'elle était liée au défendeur n° 2 en ce qui concerne cet appartement, mais qu'elle l'était avec le défendeur n° 1 et sa société D.________ SA pour la promotion E.________ litigieuse.</w:t>
      </w:r>
    </w:p>
    <w:p>
      <w:r>
        <w:rPr>
          <w:b/>
        </w:rPr>
        <w:t>E. 6</w:t>
      </w:r>
    </w:p>
    <w:p>
      <w:r>
        <w:t>Au vu de ce qui précède, le recours doit être rejeté par substitution de motifs, aux frais et dépens de son auteur (art. 66 al. 1 et 68 al. 1 LTF). Il ne sera pas alloué de dépens au défendeur n° 1 et intimé n° 2 (cf. consid. 3.2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