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4A_342/2015 vom 26. April 2016</w:t>
      </w:r>
    </w:p>
    <w:p>
      <w:r>
        <w:t>Bundesgericht, 2016-04-26, FR</w:t>
      </w:r>
    </w:p>
    <w:p>
      <w:r>
        <w:rPr>
          <w:b/>
        </w:rPr>
        <w:t xml:space="preserve">Quelle: </w:t>
      </w:r>
      <w:r>
        <w:t>https://mcp.opencaselaw.ch/entscheid/bger_4A_342_2015</w:t>
      </w:r>
    </w:p>
    <w:p>
      <w:r>
        <w:t>FR: TF 4A_342/2015 du 26 avril 2016</w:t>
      </w:r>
    </w:p>
    <w:p>
      <w:r>
        <w:t>IT: TF 4A_342/2015 del 26 aprile 2016</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lui, celles-ci se sont servies du français. Dès lors, le présent arrêt sera rendu dans cette langue.</w:t>
      </w:r>
    </w:p>
    <w:p>
      <w:r>
        <w:rPr>
          <w:b/>
        </w:rPr>
        <w:t>E. 2.1</w:t>
      </w:r>
    </w:p>
    <w:p>
      <w:r>
        <w:t>Dans le domaine de l'arbitrage international, le recours en matière civile est recevable contre les décisions de tribunaux arbitraux aux conditions fixées par les art. 190 à 192 LDIP ( art. 77 al. 1 let. a LTF ). Qu'il s'agisse de l'objet du recours, de la qualité pour recourir, du délai de recours, des conclusions prises par les recourantes ou encore des motifs de recours invoqués, aucune de ces conditions de recevabilité ne fait problème en l'espèce. Il n'en va pas de même en ce qui concerne la motivation du recours ( art. 42 al. 1 et 2 LTF ).</w:t>
      </w:r>
    </w:p>
    <w:p>
      <w:r>
        <w:rPr>
          <w:b/>
        </w:rPr>
        <w:t>E. 2.2.1</w:t>
      </w:r>
    </w:p>
    <w:p>
      <w:r>
        <w:t>Lorsque la décision attaquée comporte plusieurs motivations indépendantes, alternatives ou subsidiaires, toutes suffisantes pour sceller le sort de la cause, la partie recourante doit, sous peine d'irrecevabilité, démontrer que chacune d'elles est contraire au droit ( ATF 138 I 97 consid. 4.1.4 et les arrêts cités). La règle se rapportant à la motivation alternative vaut aussi en matière d'arbitrage international (arrêt 4A_90/2014 du 9 juillet 2014 consid. 3.2.3.3).</w:t>
      </w:r>
    </w:p>
    <w:p>
      <w:r>
        <w:t>Forte de cette jurisprudence, l'intimée, se référant au n. 156, précité, de la sentence, en déduit que cette dernière repose sur une double motivation: d'une part, une motivation principale, fondée sur les textes mêmes du</w:t>
      </w:r>
    </w:p>
    <w:p>
      <w:r>
        <w:t>SPA et du</w:t>
      </w:r>
    </w:p>
    <w:p>
      <w:r>
        <w:t>DA , qui a révélé la réelle et commune intention des parties de ne pas créer une interdépendance entre ces deux contrats; d'autre part, une motivation alternative, voire subsidiaire, résultant de l'analyse historique des pourparlers contractuels, qui n'était pas strictement nécessaire, mais qui a confirmé le bien-fondé de l'analyse textuelle. Constatant que les recourantes ne s'en prennent quasi exclusivement qu'à la motivation alternative de la sentence, dont elles laissent intacte la motivation principale, l'intimée conclut à l'irrecevabilité du recours, faute d'une motivation suffisante.</w:t>
      </w:r>
    </w:p>
    <w:p>
      <w:r>
        <w:t>Les recourantes contestent, de leur côté, le caractère alternatif de la motivation sur laquelle repose la sentence entreprise. Pour elles, comme l'interprétation purement littérale est prohibée selon la jurisprudence du Tribunal fédéral relative à l' art. 18 CO , auquel correspondait l'art. 18 OTCO, elle ne saurait constituer une motivation indépendante. En réalité, il ne faudrait y voir que l'un des deux pans d'une seule et même motivation ayant pour objet la mise au jour de la volonté interne commune aux parties, le second consistant dans les enseignements tirés de l'examen des négociations ayant conduit à la conclusion du</w:t>
      </w:r>
    </w:p>
    <w:p>
      <w:r>
        <w:t>SPA .</w:t>
      </w:r>
    </w:p>
    <w:p>
      <w:r>
        <w:rPr>
          <w:b/>
        </w:rPr>
        <w:t>E. 2.2.2</w:t>
      </w:r>
    </w:p>
    <w:p>
      <w:r>
        <w:t>Que l'interprétation purement littérale fût prohibée ou non, en l'espèce, selon le droit turc applicable, importe peu. Même si tel avait été le cas et qu'il se fût agi de la principale</w:t>
      </w:r>
    </w:p>
    <w:p>
      <w:r>
        <w:t>ratio decidendi retenue par le Tribunal arbitral à l'appui de sa sentence, les recourantes ne s'en prendraient pas moins en vain à la motivation subsidiaire, fondée sur l'examen des pourparlers contractuels, pour la simple et bonne raison que la manière dont les arbitres ont interprété le droit applicable ne constitue pas l'un des motifs de recours visés par l' art. 190 al. 2 LDIP , si bien que la motivation principale de leur sentence demeurerait intacte, faute de pouvoir être attaquée. A fortiori en irait-il ainsi, par identité de motif, dans l'hypothèse inverse, c'est-à-dire au cas où l'interprétation strictement textuelle du</w:t>
      </w:r>
    </w:p>
    <w:p>
      <w:r>
        <w:t>SPA et du</w:t>
      </w:r>
    </w:p>
    <w:p>
      <w:r>
        <w:t>DA constituerait un moyen d'interprétation admissible selon l'ancien droit turc des obligations, dès lors que le résultat de pareille interprétation serait soustrait à l'examen du Tribunal fédéral.</w:t>
      </w:r>
    </w:p>
    <w:p>
      <w:r>
        <w:t>Le seul point déterminant réside donc dans le rapport existant entre les deux motivations sur lesquelles repose la sentence contestée. A cet égard, la thèse soutenue par l'intimée n'apparaît guère convaincante. Sans doute le Tribunal arbitral souligne-t-il, dans la dernière phrase du n. 156, précité, de sa sentence, que l'analyse historique des pourparlers n'eût pas été strictement nécessaire et qu'elle ne modifie de toute façon pas le résultat de l'interprétation textuelle qu'il a faite. Toujours est-il qu'il l'a effectuée en lui consacrant pas moins de neuf pages. Par cette démarche, il a reconnu implicitement que l'examen des pourparlers contractuels n'était pas superflu et constituait l'un des moyens de déterminer la réelle et commune intention des parties. Il n'a donc pas exclu a priori l'utilité d'un tel examen, sauf à faire de l'art pour l'art. Quant à sa remarque selon laquelle pareil examen n'était pas strictement nécessaire et ne changeait rien à son appréciation de la situation juridique, elle a de toute évidence été formulée après que l'examen des pourparlers contractuels eut été achevé - on en jugera par l'usage du passé dans les deux dernières phrases du n. 156, précité, de la sentence ("</w:t>
      </w:r>
    </w:p>
    <w:p>
      <w:r>
        <w:t>has... considered "; "</w:t>
      </w:r>
    </w:p>
    <w:p>
      <w:r>
        <w:t>was ") -, ce qui en relativise sensiblement la portée. Du reste, rien ne permet d'affirmer que, si les arbitres étaient parvenus à la conclusion que le résultat de leur interprétation textuelle était incompatible avec celui de l'examen des négociations contractuelles, ils eussent nécessairement accordé la priorité à l'interprétation littérale. Peut-être eussent-ils fait le contraire ou se fussent-ils convaincus de la nécessité de procéder à une interprétation objective, conformément au principe de la confiance, des manifestations de volonté des parties. Force est ainsi d'admettre, avec les recourantes, que la motivation fondée sur l'interprétation historique participait, au même titre que l'interprétation textuelle, de la recherche de la réelle et commune volonté des cocontractantes et constituait, avec celle-ci, l'un des deux piliers de la motivation sous-tendant la sentence attaquée. Aussi ne saurait-on dénier aux recourantes le droit de contester cette motivation-là au titre de la violation de diverses garanties procédurales, alors que cette motivation-ci, purement juridique, échappe, de par sa nature, à l'examen du Tribunal fédéral.</w:t>
      </w:r>
    </w:p>
    <w:p>
      <w:r>
        <w:rPr>
          <w:b/>
        </w:rPr>
        <w:t>E. 2.3</w:t>
      </w:r>
    </w:p>
    <w:p>
      <w:r>
        <w:t>Quoi qu'en dise l'intimée, les critiques formulées par les recourantes ne revêtent pas un caractère appellatoire. Au contraire, les intéressées exposent, références jurisprudentielles à l'appui, pour chacun des griefs qu'elles soulèvent, en quoi consiste, à leurs yeux, la garantie procédurale, respectivement matérielle, invoquée, puis indiquent, sur le vu des faits pertinents, pourquoi, à leur avis, le Tribunal arbitral a méconnu cette garantie en l'espèce.</w:t>
      </w:r>
    </w:p>
    <w:p>
      <w:r>
        <w:t>Autre est la question, soulevée par l'intimée, de savoir si le Tribunal fédéral est lié ou non par la remarque suivante, figurant à la page 8 de la décision du Tribunal arbitral du 4 mars 2015: "[ the Arbitral Tribunal] finds that the parties agreed to limit the submissions on the compound contract issue to a single round ". La réponse à cette question spécifique, qu'il y a lieu de réserver ici, n'influe pas sur la nature appellatoire ou non du recours dans son ensemble (cf. consid. 4.2.2.1 ci-dessous).</w:t>
      </w:r>
    </w:p>
    <w:p>
      <w:r>
        <w:t>Rien ne s'oppose, dès lors, à l'entrée en matière.</w:t>
      </w:r>
    </w:p>
    <w:p>
      <w:r>
        <w:rPr>
          <w:b/>
        </w:rPr>
        <w:t>E. 3</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si des faits ou des moyens de preuve nouveaux sont exceptionnellement pris en considération dans le cadre de la procédure du recours en matière civile (arrêt 4A_124/2014 du 7 juillet 2014 consid. 2.3).</w:t>
      </w:r>
    </w:p>
    <w:p>
      <w:r>
        <w:t>C'est le lieu d'observer que les constatations du tribunal arbitral quant au déroulement de la procédure lient aussi le Tribunal fédéral, sous les mêmes réserves,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(arrêt 4A_54/2015 du 17 août 2015 consid. 2.3 citant l' ATF 140 III 16 consid. 1.3.1).</w:t>
      </w:r>
    </w:p>
    <w:p>
      <w:r>
        <w:rPr>
          <w:b/>
        </w:rPr>
        <w:t>E. 4</w:t>
      </w:r>
    </w:p>
    <w:p>
      <w:r>
        <w:t>Dans un premier groupe de moyens, les recourantes font grief au Tribunal arbitral de n'avoir pas respecté l'égalité des parties et d'avoir violé à maints égards leur droit d'être entendues en procédure contradictoire.</w:t>
      </w:r>
    </w:p>
    <w:p>
      <w:r>
        <w:rPr>
          <w:b/>
        </w:rPr>
        <w:t>E. 4.1.1</w:t>
      </w:r>
    </w:p>
    <w:p>
      <w:r>
        <w:t>Le droit d'être entendu, tel qu'il est garanti par les art. 182 al. 3 et 190 al. 2 let. d LDIP,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 En revanche, le droit d'être entendu n'englobe pas le droit de s'exprimer oralement ( ATF 117 II 346 consid. 1b; 115 II 129 consid. 6a p. 133 et les arrêts cités). De même n'exige-t-il pas qu'une sentence arbitrale internationale soit motivée. Toutefois, la jurisprudence en a également déduit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 ATF 133 III 235 consid. 5.2 p. 248).</w:t>
      </w:r>
    </w:p>
    <w:p>
      <w:r>
        <w:t>S'agissant du droit de faire administrer des preuves, il faut qu'il ait été exercé en temps utile et selon les règles de forme applicables ( ATF 119 II 386 consid. 1b p. 389). Le tribunal arbitral peut refuser d'administrer une preuve, sans violer le droit d'être entendu,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 Le Tribunal fédéral ne peut revoir une appréciation anticipée des preuves, sauf sous l'angle extrêmement restreint de l'ordre public (arrêt 4A_246/2014 du 15 juillet 2015 consid. 6.1).</w:t>
      </w:r>
    </w:p>
    <w:p>
      <w:r>
        <w:t>L'égalité des parties, elle aussi garantie par les art. 182 al. 3 et 190 al. 2 let. d LDIP, implique que la procédure soit réglée et conduite de manière à ce que chaque partie ait les mêmes possibilités de faire valoir ses moyens. Enfin, le principe de la contradiction, garanti par les mêmes dispositions, exige que chaque partie ait la faculté de se déterminer sur les moyens de son adversaire, d'examiner et de discuter les preuves apportées par lui et de les réfuter par ses propres preuves ( ATF 117 II 346 consid. 1a).</w:t>
      </w:r>
    </w:p>
    <w:p>
      <w:r>
        <w:rPr>
          <w:b/>
        </w:rPr>
        <w:t>E. 4.1.2</w:t>
      </w:r>
    </w:p>
    <w:p>
      <w:r>
        <w:t>Cependant, en Suisse, le droit d'être entendu en procédure contradictoire, loin d'être illimité, connaît, au contraire, d'importantes restrictions dans le domaine de l'arbitrage international. Ainsi - on l'a vu - n'exige-t-il pas qu'une sentence arbitrale internationale soit motivée ( ATF 134 III 186 consid. 6.1 et les références). Une partie n'a, en outre, pas le droit de se prononcer sur l'appréciation juridique des faits ni, plus généralement, sur l'argumentation juridique à retenir, à moins que le tribunal arbitral n'envisage de fonder sa décision sur une norme ou un motif juridique non évoqué dans la procédure antérieure et dont aucune des parties en présence ne s'est prévalue et ne pouvait supputer la pertinence dans la cause en litige. Le tribunal arbitral n'est pas non plus tenu d'aviser spécialement une partie du caractère décisif d'un élément de fait sur lequel il s'apprête à fonder sa décision, pour autant que celui-ci ait été allégué et prouvé selon les règles (arrêt 4P.196/2003 du 7 janvier 2004 consid. 4.1). Au demeurant, le grief tiré de la violation du droit d'être entendu ne doit pas servir, pour la partie qui se plaint de vices affectant la motivation de la sentence, à provoquer par ce biais un examen de l'application du droit de fond ( ATF 116 II 373 consid. 7b).</w:t>
      </w:r>
    </w:p>
    <w:p>
      <w:r>
        <w:t>Il sied de rappeler, en outre, qu'une partie à la convention d'arbitrage ne peut pas se plaindre directement, dans le cadre d'un recours en matière civile au Tribunal fédéral formé contre une sentence, de ce que les arbitres auraient violé la CEDH, même si les principes découlant de celle-ci peuvent servir, le cas échéant, à concrétiser les garanties invoquées sur la base de l' art. 190 al. 2 LDIP . Du reste, il est loisible aux parties de régler la procédure arbitrale comme elles l'entendent, notamment par référence à un règlement d'arbitrage ( art. 182 al. 1 LDIP ), pour peu que le tribunal arbitral garantisse leur égalité et leur droit d'être entendues en procédure contradictoire (arrêt 4A_246/2014, précité, consid. 7.2.2). Dans le même ordre d'idées, il faut bien voir que les exigences relativement strictes formulées par le Tribunal fédéral quant au droit de réplique, à la lumière de la jurisprudence de la CourEDH ( ATF 139 I 189 consid. 3.2 et les arrêts cités; sur la question, voir aussi: SCHALLER/MAHON, Le droit de réplique: un aller-retour sans fin entre Strasbourg et Lausanne?, in Le droit de réplique, François Bohnet [éd.], 2013, p. 19 ss.), ne peuvent pas être reprises telles quelles en matière d'arbitrage interne et international. Aussi bien, il est généralement admis, en ce domaine, que la garantie du droit d'être entendu n'implique pas un droit absolu à un double échange d'écritures, pour autant que le demandeur ait la possibilité de se déterminer sous une forme ou une autre sur les moyens articulés par le défendeur en second lieu, en particulier sur d'éventuelles conclusions reconventionnelles (cf., avec diverses nuances: BERGER/KELLERHALS, International and Domestic Arbitration in Switzerland, 3e éd. 2015, n. 1137; TARKAN GÖKSU, Schiedsgerichtsbarkeit, 2014, n. 1534 et 2084; GABRIEL/BUHR, in Commentaire bernois, Schweizerische Zivilprozessordnung, vol. III 2014, n° 87 ad art. 373 CPC ; SCHNEIDER/SCHERER, in Commentaire bâlois, Internationales Privatrecht, 3e éd. 2013, n° 88 ad art. 182 LDIP ; NATER-BASS/ROUVINEZ, in Swiss Rules of International Arbitration, Commentary, Zuberbühler/Müller/Habegger [éd.], 2e éd. 2013, n° 4 ad art. 22; LALIVE/POUDRET/REYMOND, Le droit de l'arbitrage interne et international en Suisse, 1989, n° 3 a) ad art. 25 CA p. 140; PHILIPP HABEGGER, in Commentaire bâlois, Schweizerische Zivilprozessordnung, 2e éd. 2013, n° 58 ad art. 373 CPC ; CHRISTOPH MÜLLER, in Kommentar zur Schweizerischen Zivilprozessordnung (ZPO), Sutter-Somm/Hasenböhler/Leuenberger [éd.], 3e éd. 2016, n° 16 ad art. 373 CPC ), même si cette manière de faire est usuelle (FOUCHARD/GAILLARD/GOLDMAN, Traité de l'arbitrage international, 1996, n. 1261; ANDREAS BUCHER, in Commentaire romand, Loi sur le droit international privé - Convention de Lugano, 2011, n° 19 ad art. 182 LDIP ). Sur un plan plus général, on notera enfin que l'autorité de recours doit examiner la question du respect du droit d'être entendu dans le contexte propre à chaque procédure arbitrale, en n'oubliant pas qu'une renonciation ponctuelle</w:t>
      </w:r>
    </w:p>
    <w:p>
      <w:r>
        <w:t>ex ante à cette garantie est admissible dans la mesure où la décision y relative est prise en connaissance de cause (BUCHER, op. cit., n° 41 ad art. 182 LDIP et n° 90 ad art. 190 LDIP ; GÖKSU, op. cit., n. 1280 p. 397; BERGER/KELLERHALS, op. cit., n. 1128; URS ZENHÄUSERN, in Schweizerische Zivilprozessordnung (ZPO), Baker &amp; McKenzie [éd.], n° 20 ad art. 373 CPC ). C'est dire que, suivant les circonstances, des conclusions différentes devront être tirées en ce qui concerne le respect d'un même aspect de la garantie considérée, sous réserve, cela va de soi, qu'une atteinte n'ait pas été portée au noyau dur de celle-ci.</w:t>
      </w:r>
    </w:p>
    <w:p>
      <w:r>
        <w:rPr>
          <w:b/>
        </w:rPr>
        <w:t>E. 4.1.3</w:t>
      </w:r>
    </w:p>
    <w:p>
      <w:r>
        <w:t>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Pareille démonstration se fera sur le vu des motifs énoncés dans la sentence attaquée ( ATF 133 III 235 consid. 5.2 p. 248).</w:t>
      </w:r>
    </w:p>
    <w:p>
      <w:r>
        <w:rPr>
          <w:b/>
        </w:rPr>
        <w:t>E. 4.1.4</w:t>
      </w:r>
    </w:p>
    <w:p>
      <w:r>
        <w:t>Etant donné la nature formelle du droit d'être entendu, la violation de cette garantie entraîne l'annulation de la sentence attaquée ( ATF 133 III 235 consid. 5.3 p. 250 in fine).</w:t>
      </w:r>
    </w:p>
    <w:p>
      <w:r>
        <w:rPr>
          <w:b/>
        </w:rPr>
        <w:t>E. 4.2</w:t>
      </w:r>
    </w:p>
    <w:p>
      <w:r>
        <w:t>C'est à la lumière de cette jurisprudence et au regard des arguments avancés par l'intimée pour tenter de les réfuter que seront examinés, ci-après, les différents griefs formulés par les recourantes aux titres de la violation de leur droit d'être entendues en procédure contradictoire et du non-respect de l'égalité des parties.</w:t>
      </w:r>
    </w:p>
    <w:p>
      <w:r>
        <w:rPr>
          <w:b/>
        </w:rPr>
        <w:t>E. 4.2.1</w:t>
      </w:r>
    </w:p>
    <w:p>
      <w:r>
        <w:t>Les recourantes reprochent, en premier lieu, au Tribunal arbitral d'avoir omis de constater les faits pertinents, régulièrement allégués par elles, qui lui auraient permis de constater quelle avait été leur volonté réelle lors de la négociation et de la conclusion des contrats litigieux, tout en ayant pris en considération les</w:t>
      </w:r>
    </w:p>
    <w:p>
      <w:r>
        <w:t>witness statements produits par l'intimée à ce sujet, sans leur permettre de se déterminer sur les allégations et arguments de cette partie (recours, n. 65/66).</w:t>
      </w:r>
    </w:p>
    <w:p>
      <w:r>
        <w:t>Le moyen ne saurait prospérer. Sa recevabilité est déjà sujette à caution dès lors que les recourantes n'indiquent pas en quoi l'omission dénoncée par elles résulterait d'une inadvertance imputable aux arbitres, voire d'un malentendu (cf. consid. 4.1.1, 1er §, et 4.1.3 ci-dessus). En tout état de cause, l'intimée démontre, dans sa réponse au recours (n. 66 à 69), que les faits allégués par les recourantes n'ont pas échappé au Tribunal arbitral, lequel en a tenu compte, à tout le moins implicitement. Ces faits consistent, d'une part, en un courrier électronique du 14 mai 2003 par lequel Me V.________, l'avocat turc des recourantes, avait envoyé au représentant de l'intimée un premier projet de</w:t>
      </w:r>
    </w:p>
    <w:p>
      <w:r>
        <w:t>DA qui se serait expressément référé au</w:t>
      </w:r>
    </w:p>
    <w:p>
      <w:r>
        <w:t>SPA devant être signé en même temps que lui (pce C-24) et, d'autre part, en un courrier du 29 mai 2013 dans lequel le même avocat aurait rappelé au représentant de l'intimée le caractère essentiel du</w:t>
      </w:r>
    </w:p>
    <w:p>
      <w:r>
        <w:t>DA pour le</w:t>
      </w:r>
    </w:p>
    <w:p>
      <w:r>
        <w:t>SPA (pce C-4). Ils ont fait l'objet des allégués 28 et 51 du mémoire-demande. L'intimée s'est déterminée à leur sujet dans son mémoire-réponse (n. 263 à 269 et 299 à 302). Quant au Tribunal arbitral, s'il ne s'est pas spécifiquement référé aux deux allégués précités des recourantes, la thèse développée par elles à partir de ceux-ci ne lui a pas échappé, puisqu'il en fait état dans sa sentence (n. 158), tout en indiquant qu'elle a été infirmée par le comportement que les parties ont adopté lors des pourparlers contractuels, lequel a consisté, comme le souhaitait l'intimée, à séparer progressivement les obligations afférentes au</w:t>
      </w:r>
    </w:p>
    <w:p>
      <w:r>
        <w:t>DA de celles relatives au</w:t>
      </w:r>
    </w:p>
    <w:p>
      <w:r>
        <w:t>SPA (n. 170/171).</w:t>
      </w:r>
    </w:p>
    <w:p>
      <w:r>
        <w:t>Le reproche que les recourantes adressent au Tribunal arbitral tombe ainsi à faux.</w:t>
      </w:r>
    </w:p>
    <w:p>
      <w:r>
        <w:rPr>
          <w:b/>
        </w:rPr>
        <w:t>E. 4.2.2</w:t>
      </w:r>
    </w:p>
    <w:p>
      <w:r>
        <w:t>Les recourantes s'en prennent ensuite au refus du Tribunal arbitral d'ordonner un échange supplémentaire d'écritures. Elles critiquent, en particulier, les trois motifs retenus par le Tribunal arbitral dans sa décision du 4 mars 2015 à l'appui de ce refus. A leur avis et contrairement à l'opinion des arbitres, le calendrier procédural n'était pas clair; ensuite, l'interprétation qu'elles en faisaient ne les limitait pas à la seule discussion des prochaines étapes de la procédure; il était enfin erroné de leur appliquer le principe voulant que la procédure contradictoire n'implique pas un droit illimité à la réfutation. Aussi le Tribunal arbitral avait-il violé leur droit d'être entendues, y compris celui de répliquer, en ne donnant pas suite à "leur demande immédiate, réitérée et circonstanciée" d'un second échange d'écritures (recours, n. 71 à 93).</w:t>
      </w:r>
    </w:p>
    <w:p>
      <w:r>
        <w:rPr>
          <w:b/>
        </w:rPr>
        <w:t>E. 4.2.2.1</w:t>
      </w:r>
    </w:p>
    <w:p>
      <w:r>
        <w:t>Comme on l'a déjà relevé plus haut (cf. consid. 2.3), le Tribunal arbitral a retenu ce qui suit dans la conclusion de sa décision du 4 mars 2015 à laquelle il se réfère au n. 40 i.f. de sa sentence: "[ the Arbitral Tribunal] finds that the parties agreed to limit the submissions on the compound contract issue to a single round ". Cette constatation quant à l'existence d'un accord en vertu duquel les parties ont limité, d'entente avec le Tribunal arbitral, la première phase de l'arbitrage à un seul échange d'écritures a trait au déroulement de la procédure arbitrale et, plus précisément, à la volonté manifestée par les protagonistes au cours de celle-ci. Pour la poser, le Tribunal arbitral n'a pas procédé à une interprétation objective des déclarations et du comportement de chacune des parties. Il a, bien plutôt, inféré directement du contenu des courriers échangés par celles-ci avec son président l'existence d'une réelle et commune intention des intéressées touchant le nombre de mémoires à verser au dossier de l'arbitrage. En d'autres termes, le Tribunal arbitral a déduit de faits procéduraux (i.e. la volonté exprimée par les parties tout au long de la procédure dans leurs courriers respectifs) un autre fait procédural (i.e. l'existence d'un accord limitatif ayant la portée sus-indiquée). Le résultat de cette déduction est une conclusion qui relève du domaine des faits et lie, partant, la Cour de céans (cf. consid. 3 ci-dessus).</w:t>
      </w:r>
    </w:p>
    <w:p>
      <w:r>
        <w:t>L'existence, avérée, dudit accord prive de toute pertinence les moyens par lesquels les recourantes tentent de démontrer le prétendu manque de clarté du</w:t>
      </w:r>
    </w:p>
    <w:p>
      <w:r>
        <w:t>Procedural Timetable et l'interprétation erronée que les arbitres auraient faite de la dernière phrase de ce document. Elle met également à néant l'argument que les recourantes croient pouvoir tirer du contenu des</w:t>
      </w:r>
    </w:p>
    <w:p>
      <w:r>
        <w:t>SPR puisqu'aussi bien le susdit accord, à supposer qu'il dérogeât à ces règles de procédure spécifiques, aurait le pas sur ces dernières en tant que</w:t>
      </w:r>
    </w:p>
    <w:p>
      <w:r>
        <w:t>lex specialis .</w:t>
      </w:r>
    </w:p>
    <w:p>
      <w:r>
        <w:rPr>
          <w:b/>
        </w:rPr>
        <w:t>E. 4.2.2.2</w:t>
      </w:r>
    </w:p>
    <w:p>
      <w:r>
        <w:t>La garantie du droit d'être entendu en matière d'arbitrage n'implique pas un droit absolu à un double échange d'écritures, on l'a vu (cf. consid. 4.1.2 ci-dessus). Sous cet angle, rien ne s'oppose donc à la reconnaissance de l'accord par lequel les parties, avec l'aval du Tribunal arbitral, ont limité la première phase de l'arbitrage à un seul échange d'écritures. Aussi les recourantes invoquent-elles en vain leur droit de réplique pour essayer de paralyser l'accord auquel elles ont librement souscrit.</w:t>
      </w:r>
    </w:p>
    <w:p>
      <w:r>
        <w:t>Les parties étaient d'ailleurs à même de mesurer la portée et les conséquences de cet accord. En effet, lorsqu'elles ont participé à la conférence téléphonique tenue le 6 mai 2014 par le Tribunal arbitral, leurs positions respectives sur les points essentiels du litige étaient déjà bien connues. L'intimée avait exposé la sienne dans sa réponse du 23 décembre 2013 à la requête d'arbitrage, en y examinant spécifiquement la question de l'interdépendance du</w:t>
      </w:r>
    </w:p>
    <w:p>
      <w:r>
        <w:t>SPA et du</w:t>
      </w:r>
    </w:p>
    <w:p>
      <w:r>
        <w:t>DA (n. 75 à 84), puis l'avait résumée en annexe à un courrier du 19 mars 2014 en vue de son inclusion dans l'acte de mission. Cela n'avait du reste pas échappé au Tribunal arbitral, raison pour laquelle celui-ci avait clairement invité les parties, dans son courrier du 6 mai 2014, à exposer en détail leurs arguments de fait et de droit concernant la rescision du</w:t>
      </w:r>
    </w:p>
    <w:p>
      <w:r>
        <w:t>SPA et la problématique du contrat composé, en y incluant leurs éventuels moyens de preuve (</w:t>
      </w:r>
    </w:p>
    <w:p>
      <w:r>
        <w:t>legal exhibits, witness evidence and expert reports ) relatifs à l'historique des pourparlers contractuels et au but commercial assigné à ce contrat. C'est donc en connaissance de cause que les parties ont décidé de ne procéder qu'à un seul échange d'écritures sur la question du fondement juridique de la demande et accepté que le Tribunal arbitral statuât sur cette question après le dépôt du mémoire-réponse de l'intimée.</w:t>
      </w:r>
    </w:p>
    <w:p>
      <w:r>
        <w:t>Sans doute les recourantes ont-elles raison lorsqu'elles objectent qu'elles ne pouvaient logiquement pas connaître à l'avance le contenu des pièces, tels les</w:t>
      </w:r>
    </w:p>
    <w:p>
      <w:r>
        <w:t>witness statements , que l'intimée annexerait à son mémoire-réponse, non plus que les allégations et les exposés de droit que contiendrait cette écriture (recours, n. 89). Cependant, semblable objection ne peut pas être retenue en l'espèce car elle est incompatible avec l'objet de l'accord procédural que les parties avaient passé en n'ignorant rien des tenants et aboutissants de l'affaire, accord qui impliquait la renonciation anticipée des recourantes au droit de contester, dans une écriture subséquente, le bien-fondé des allégations contenues dans le mémoire-réponse et la pertinence des moyens de preuve, en particulier les déclarations écrites de témoins, produits avec celui-ci. En d'autres termes, les recourantes ne pouvaient qu'être conscientes que l'intimée était susceptible d'annexer à son mémoire-réponse à venir des témoignages écrits concernant l'historique des négociations ayant précédé la conclusion du</w:t>
      </w:r>
    </w:p>
    <w:p>
      <w:r>
        <w:t>SPA et du</w:t>
      </w:r>
    </w:p>
    <w:p>
      <w:r>
        <w:t>DA . Sachant cela, il leur eût été loisible, soit de ne pas passer l'accord en question, soit de produire elles-mêmes, avec leur mémoire-demande, tous les éléments de preuve de nature à étayer leurs allégations touchant le contenu des pourparlers contractuels. A cet égard et plus concrètement, on ne comprend pas ce qui les a retenues de déposer un</w:t>
      </w:r>
    </w:p>
    <w:p>
      <w:r>
        <w:t>witness statement de V.________, l'avocat turc qui avait conduit ces pourparlers en leur nom, puisqu'aussi bien elles semblent vouloir attacher un poids particulier aux dires de cette personne. Venir se plaindre</w:t>
      </w:r>
    </w:p>
    <w:p>
      <w:r>
        <w:t>ex post des conséquences liées à un accord procédural consciemment et librement consenti, ainsi qu'elles le font dans leur recours, n'apparaît guère compatible avec les règles de la bonne foi.</w:t>
      </w:r>
    </w:p>
    <w:p>
      <w:r>
        <w:t>Force est d'admettre, dans ces conditions, que les recourantes ont valablement renoncé à leur droit de répliquer. Partant, le Tribunal arbitral n'a pas violé leur droit d'être entendues en n'ordonnant pas un second échange d'écritures.</w:t>
      </w:r>
    </w:p>
    <w:p>
      <w:r>
        <w:rPr>
          <w:b/>
        </w:rPr>
        <w:t>E. 4.2.2.3</w:t>
      </w:r>
    </w:p>
    <w:p>
      <w:r>
        <w:t>Les recourantes font encore valoir qu'en refusant de les autoriser à produire des</w:t>
      </w:r>
    </w:p>
    <w:p>
      <w:r>
        <w:t>rebuttal witness statements et une</w:t>
      </w:r>
    </w:p>
    <w:p>
      <w:r>
        <w:t>rebuttal expert opinion, le Tribunal arbitral aurait non seulement contrevenu aux règles de procédure adoptées par les parties, mais aussi et surtout violé leur droit d'être entendues (recours, n. 93). Ce moyen, qui met plus particulièrement en jeu le principe de la contradiction, en tant qu'élément constitutif de cette garantie formelle, tombe à faux.</w:t>
      </w:r>
    </w:p>
    <w:p>
      <w:r>
        <w:t>D'abord, la procédure résultant de l'accord particulier conclu par les recourantes et l'intimée sous l'égide du Tribunal arbitral - accord qui, on l'a vu, l'emportait sur d'éventuelles prescriptions contraires figurant dans les</w:t>
      </w:r>
    </w:p>
    <w:p>
      <w:r>
        <w:t>SPR (cf. consid. 4.2.2.1, 2e §) - prévoyait que, si les parties souhaitaient s'appuyer sur des preuves, des témoignages écrits et des expertises en relation avec le fondement juridique de la demande, ces pièces devaient être produites avec le mémoire-demande, respectivement le mémoire-réponse.</w:t>
      </w:r>
    </w:p>
    <w:p>
      <w:r>
        <w:t>Par ailleurs et en tout état de cause, le Tribunal arbitral a procédé à une appréciation anticipée des preuves proposées par les recourantes et est parvenu à la conclusion que ces dernières n'étaient pas pertinentes pour la solution du litige (cf. let. B.c in fine, ci-dessus). Or, le Tribunal fédéral ne peut pas revoir une telle appréciation si ce n'est sous l'angle restreint de l'ordre public procédural (cf. consid. 5.2.1 ci-après).</w:t>
      </w:r>
    </w:p>
    <w:p>
      <w:r>
        <w:rPr>
          <w:b/>
        </w:rPr>
        <w:t>E. 4.2.3</w:t>
      </w:r>
    </w:p>
    <w:p>
      <w:r>
        <w:t>Les recourantes formulent les mêmes critiques sous l'angle de l'égalité de traitement. Comme ce principe ne se distingue guère de la garantie du droit d'être entendu (arrêt 4A_2/2007 du 28 mars 2007 consid. 4 et les références), pareilles critiques sont vouées au même sort que celles qui ont été écartées au regard de cette garantie. Aussi bien, dès lors que les parties étaient convenues de limiter la procédure à un seul échange d'écritures, les recourantes se plaignent sans raison valable de ne pas avoir eu les mêmes possibilités que l'intimée de faire valoir leurs moyens. Quoi qu'il en soit, il est légitime, pour organiser la procédure, que le demandeur, en raison de sa position, s'exprime en premier et le défendeur en dernier. On ne saurait donc y voir une inégalité de traitement (BERNARD CORBOZ, in Commentaire de la LTF, 2e éd. 2014, n° 135 ad art. 77 LTF ).</w:t>
      </w:r>
    </w:p>
    <w:p>
      <w:r>
        <w:rPr>
          <w:b/>
        </w:rPr>
        <w:t>E. 5</w:t>
      </w:r>
    </w:p>
    <w:p>
      <w:r>
        <w:t>A titre subsidiaire, les recourantes font grief au Tribunal arbitral d'avoir violé l'ordre public, au sens de l' art. 190 al. 2 let . e LDIP, sous son aspect tant procédural que matériel.</w:t>
      </w:r>
    </w:p>
    <w:p>
      <w:r>
        <w:rPr>
          <w:b/>
        </w:rPr>
        <w:t>E. 5.1</w:t>
      </w:r>
    </w:p>
    <w:p>
      <w:r>
        <w:t>Une sentence est incompatible avec l'ordre public si elle méconnaît les valeurs essentielles et largement reconnues qui, selon les conceptions prévalant en Suisse, devraient constituer le fondement de tout ordre juridique ( ATF 132 III 389 consid. 2.2.3). On distingue un ordre public procédural et un ordre public matériel.</w:t>
      </w:r>
    </w:p>
    <w:p>
      <w:r>
        <w:t>L'ordre public procédural, au sens de l' art. 190 al. 2 let . e LDIP, qui n'est qu'une garantie subsidiaire ( ATF 138 III 270 consid. 2.3), assure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 ATF 132 III 389 consid. 2.2.1).</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(même arrêt, ibid.).</w:t>
      </w:r>
    </w:p>
    <w:p>
      <w:r>
        <w:rPr>
          <w:b/>
        </w:rPr>
        <w:t>E. 5.2</w:t>
      </w:r>
    </w:p>
    <w:p>
      <w:r>
        <w:t>Examinées à l'aune de ces principes jurisprudentiels, les critiques formulées par les recourantes se révèlent impropres à démontrer la violation de l'ordre public procédural ou matériel imputée au Tribunal arbitral.</w:t>
      </w:r>
    </w:p>
    <w:p>
      <w:r>
        <w:rPr>
          <w:b/>
        </w:rPr>
        <w:t>E. 5.2.1</w:t>
      </w:r>
    </w:p>
    <w:p>
      <w:r>
        <w:t>Au titre de la violation de l'ordre public procédural, les recourantes s'en prennent à l'appréciation anticipée des preuves à laquelle le Tribunal arbitral s'est livré pour écarter les moyens de preuve dont elles proposaient l'administration. Selon elles, le refus de donner suite à leur requête de preuves emporterait violation de leur droit d'être entendues en ce qu'il les priverait de la faculté de se déterminer sur les moyens de l'intimée, de discuter les preuves apportées par celle-ci et de les réfuter par leurs propres preuves.</w:t>
      </w:r>
    </w:p>
    <w:p>
      <w:r>
        <w:t>Il s'agit là d'un raisonnement circulaire qui ne saurait être suivi. En effet, par ce biais, les recourantes tentent de démontrer que l'appréciation anticipée des preuves opérée par le Tribunal arbitral, laquelle ne viole pas le droit d'être entendu selon la jurisprudence fédérale (cf. consid. 4.1.1, 2e §, ci-dessus), porterait néanmoins atteinte à ce droit</w:t>
      </w:r>
    </w:p>
    <w:p>
      <w:r>
        <w:t>in casu . De surcroît, pour démontrer la chose, elles font abstraction de l'accord de procédure qu'elles ont passé avec l'intimée et qui imposait aux deux parties d'alléguer tous les faits pertinents et de présenter tous leurs moyens de preuve dans un seul mémoire.</w:t>
      </w:r>
    </w:p>
    <w:p>
      <w:r>
        <w:rPr>
          <w:b/>
        </w:rPr>
        <w:t>E. 5.2.2</w:t>
      </w:r>
    </w:p>
    <w:p>
      <w:r>
        <w:t>La prétendue violation de l'ordre public matériel qu'aurait commise le Tribunal arbitral n'est pas davantage perceptible. Les explications que les recourantes fournissent à l'appui du grief correspondant, en vue de démontrer une prétendue violation du principe de la bonne foi, n'apparaissent nullement convaincantes dans la mesure où elles font, elles aussi, abstraction de l'accord de procédure conclu par les parties et ne consistent que dans la présentation, sous un autre angle, des griefs qui ont déjà été rejetés ci-devant en tant qu'ils étaient recevables. Au demeurant, le Tribunal arbitral, quoi qu'en dise les recourantes, n'a nullement adopté un comportement contraire aux règles de la bonne foi dans ses relations avec les parties, mais n'a fait que mettre en oeuvre la volonté commune que celles-ci avaient manifestée quant au déroulement de la première phase de la procédure.</w:t>
      </w:r>
    </w:p>
    <w:p>
      <w:r>
        <w:rPr>
          <w:b/>
        </w:rPr>
        <w:t>E. 6</w:t>
      </w:r>
    </w:p>
    <w:p>
      <w:r>
        <w:t>Le sort réservé au recours justifie la condamnation solidaire des recourantes au paiement des frais judiciaires ( art. 66 al. 1 et 5 LTF ) et au versement d'une indemnité pour les dépens de l'intimée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