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4A_341/2011 vom 21. März 2012</w:t>
      </w:r>
    </w:p>
    <w:p>
      <w:r>
        <w:t>Bundesgericht, 2012-03-21, DE</w:t>
      </w:r>
    </w:p>
    <w:p>
      <w:r>
        <w:rPr>
          <w:b/>
        </w:rPr>
        <w:t xml:space="preserve">Quelle: </w:t>
      </w:r>
      <w:r>
        <w:t>https://mcp.opencaselaw.ch/entscheid/bger_4A_341_2011</w:t>
      </w:r>
    </w:p>
    <w:p>
      <w:r>
        <w:t>FR: TF 4A_341/2011 du 21 mars 2012</w:t>
      </w:r>
    </w:p>
    <w:p>
      <w:r>
        <w:t>IT: TF 4A_341/2011 del 21 marzo 2012</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Endentscheid ( Art. 90 BGG ) in einer Zivilsache ( Art. 72 Abs. 1 BGG ), der von einem oberen kantonalen Gericht erging, das als Fachgericht für handelsrechtliche Streitigkeiten und einzige kantonale Instanz eingesetzt ist ( Art. 75 Abs. 2 lit. b BGG ). Die Rechtsbegehren der Beschwerdeführerin sind im kantonalen Verfahren nicht geschützt worden ( Art. 76 Abs. 1 BGG ), der massgebende Streitwert beträgt mehr als Fr. 30'000.-- (Art. 51 i.V.m. Art. 74 Abs. 1 lit. b BGG ) und die Beschwerdefrist ist eingehalten ( Art. 100 Abs. 1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 BGE 133 III 489 E. 3.1). Die Beschwerdeführerin beantragt die Aufhebung des angefochtenen Entscheids und verlangt in der Hauptsache die Gutheissung ihrer Überprüfungsklage. Insoweit genügen ihre Anträge den Anforderungen an ein reformatorisches Rechtsbegehren.</w:t>
      </w:r>
    </w:p>
    <w:p>
      <w:r>
        <w:rPr>
          <w:b/>
        </w:rPr>
        <w:t>E. 1.3</w:t>
      </w:r>
    </w:p>
    <w:p>
      <w:r>
        <w:t>Mit der Beschwerde in Zivilsachen kann die Verletzung von Bundesrecht einschliesslich Bundesverfassungsrecht gerügt werden ( Art. 95 lit. a BGG ; BGE 134 III 379 E. 1.2). Nicht zu den in Art. 95 BGG vorgesehenen Rügegründen gehört hingegen die Verletzung der kantonalen Zivilprozessordnung, deren Anwendung und Auslegung vom Bundesgericht einzig unter dem Blickwinkel eines Verstosses gegen Bundesrecht bzw. gegen Bundesverfassungsrecht beurteilt werden kann ( BGE 136 I 241 E. 2.4; 135 III 513 E. 4.3 S. 521; 134 III 379 E. 1.2 S. 382 f.).</w:t>
      </w:r>
    </w:p>
    <w:p>
      <w:r>
        <w:t>Auf das Verfahren vor der Vorinstanz fand gemäss Art. 404 Abs. 1 ZPO noch die nunmehr aufgehobene Zivilprozessordnung des Kantons Zürich Anwendung. Soweit die Beschwerdeführerin die Verletzung von Normen des kantonalen Zivilprozessrechts rügen will, hat sie mithin darzutun, dass dabei gleichzeitig ein Verstoss gegen Bundes- bzw. Bundesverfassungsrecht vorliegt.</w:t>
      </w:r>
    </w:p>
    <w:p>
      <w:r>
        <w:rPr>
          <w:b/>
        </w:rPr>
        <w:t>E. 1.4</w:t>
      </w:r>
    </w:p>
    <w:p>
      <w:r>
        <w:t>Das Bundesgericht wendet das Recht zwar von Amtes wegen an ( Art. 106 Abs. 1 BGG ; vgl. dazu BGE 132 II 257 E. 2.5 S. 262; 130 III 136 E. 1.4 S. 140). Unter Berücksichtigung der allgemeinen Begründungspflicht der Beschwerde ( Art. 42 Abs. 1 und 2 BGG ) prüft das Bundesgericht jedoch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Hinweisen).</w:t>
      </w:r>
    </w:p>
    <w:p>
      <w:r>
        <w:rPr>
          <w:b/>
        </w:rPr>
        <w:t>E. 1.5.1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vorinstanzlichen und des diesem vorangegangenen Verfahrens, namentlich die Parteivorbringen in denselben, oder etwa der Inhalt einer Expertise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S. 255; 133 III 350 E. 1.3, 393 E. 7.1, 462 E. 2.4). Soweit die Beschwerdeführerin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1.5.2</w:t>
      </w:r>
    </w:p>
    <w:p>
      <w:r>
        <w:t>Diese Grundsätze verkennt die Beschwerdeführerin grösstenteils. In ihrer Eingabe geht sie über weite Strecken von einem gegenüber den Feststellungen der Vorinstanz erweiterten oder geänderten Sachverhalt aus. Soweit sie dabei der Vorinstanz "willkürliche Sachverhaltsfeststellungen" bzw. eine Verletzung von Art. 9 BV vorwirft, vermag sie den Begründungsanforderungen von Art. 106 Abs. 2 BGG nicht genügen, unterlässt sie es doch durchwegs, diese Vorwürfe im Einzelnen anhand der vorinstanzlichen Erwägungen zu begründen und mit konkreten Aktenhinweisen zu belegen. Ihre Vorbringen gegen die vorinstanzlichen Sachverhaltsfeststellungen erschöpfen sich im Wesentlichen in appellatorischer Kritik. Darauf ist nicht einzutreten.</w:t>
      </w:r>
    </w:p>
    <w:p>
      <w:r>
        <w:rPr>
          <w:b/>
        </w:rPr>
        <w:t>E. 2</w:t>
      </w:r>
    </w:p>
    <w:p>
      <w:r>
        <w:t>Die Beschwerdeführerin macht an zahlreichen Stellen der Beschwerdeschrift geltend, die Vorinstanz habe ihr Recht auf Beweis gemäss Art. 29 Abs. 2 BV sowie Art. 8 ZGB verletzt, indem die Beschwerdeführerin für diverse Behauptungen nicht zum Beweis durch Gutachten bzw. anderweitige Beweismittel zugelassen worden sei.</w:t>
      </w:r>
    </w:p>
    <w:p>
      <w:r>
        <w:rPr>
          <w:b/>
        </w:rPr>
        <w:t>E. 2.1</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136 I 265 E. 3.2 S. 272 ; 131 I 153 E. 3 S. 157 ; 127 I 54 E. 2b S. 56 ; 124 I 241 E. 2 S. 242; je mit Hinweisen). Dieses Recht auf Beweis ergibt sich gemäss der bundesgerichtlichen Rechtsprechung auch aus Art. 8 ZGB , der insoweit für den Bereich des Bundesprivatrechts Art. 29 Abs. 2 BV konkretisiert (Urteil 4A_264/2011 vom 14. November 2011 E. 3.2).</w:t>
      </w:r>
    </w:p>
    <w:p>
      <w:r>
        <w:t>Der bundesrechtliche Beweisführungsanspruch schliesst freilich die vorweggenommene Beweiswürdigung nicht aus ( BGE 129 III 18 E. 2.6 S. 25; 126 III 315 E. 4a S. 317; je mit Hinweisen). Es bleibt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Hinweisen, vgl. auch BGE 134 I 140 E. 5.3 S. 148; 130 II 425 E. 2.1 S. 429 mit Hinweisen).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129 I 8 E. 2.1 S. 9).</w:t>
      </w:r>
    </w:p>
    <w:p>
      <w:r>
        <w:rPr>
          <w:b/>
        </w:rPr>
        <w:t>E. 2.2</w:t>
      </w:r>
    </w:p>
    <w:p>
      <w:r>
        <w:t>Soweit sich die Beschwerdeführerin auf Art. 29 Abs. 2 BV bzw. Art. 8 ZGB beruft, unterlässt sie es durchwegs darzulegen, dass und inwiefern sie die Einholung eines Gutachtens bzw. die Abnahme anderweitiger Beweismittel verfahrenskonform beantragt hat und welche Sachverhaltsfragen damit hätten geklärt werden sollen. Soweit sich die Kritik sinngemäss gegen die vorweggenommene Beweiswürdigung durch die Vorinstanz richtet, unterlässt es die Beschwerdeführerin sodann substanziiert darzulegen, inwiefern diese willkürlich erfolgt sein sollte. Auf ihre Rügen, die Vorinstanz habe gegen Art. 29 Abs. 2 BV bzw. Art. 8 ZGB verstossen, ist damit nicht einzutreten.</w:t>
      </w:r>
    </w:p>
    <w:p>
      <w:r>
        <w:rPr>
          <w:b/>
        </w:rPr>
        <w:t>E. 3</w:t>
      </w:r>
    </w:p>
    <w:p>
      <w:r>
        <w:t>Die Beschwerdeführerin wirft der Vorinstanz vor, diese habe die Dispositionsmaxime gemäss § 54 Abs. 2 aZPO/ZH in willkürlicher Weise angewendet, indem sie die in der Replik gestellten Editionsanträge als Geltendmachung materiellrechtlicher Auskunftsansprüche behandelt und abgewiesen hat. Damit habe die Vorinstanz gegen Art. 9 BV verstossen.</w:t>
      </w:r>
    </w:p>
    <w:p>
      <w:r>
        <w:rPr>
          <w:b/>
        </w:rPr>
        <w:t>E. 3.1</w:t>
      </w:r>
    </w:p>
    <w:p>
      <w:r>
        <w:t>Nach § 54 Abs. 2 aZPO/ZH darf das Gericht einer Partei weder mehr noch anderes zusprechen, als sie selbst verlangt, noch weniger, als der Gegner anerkannt hat.</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w:t>
      </w:r>
    </w:p>
    <w:p>
      <w:r>
        <w:rPr>
          <w:b/>
        </w:rPr>
        <w:t>E. 3.2</w:t>
      </w:r>
    </w:p>
    <w:p>
      <w:r>
        <w:t>Gemäss den Feststellungen der Vorinstanz stellte die Beschwerdeführerin die Editionsbegehren in der Replik vom 1. März 2010 im Sinne einer Stufenklage. Die Vorinstanz kam zum Schluss, dass selbst wenn der Beschwerdeführerin materiellrechtliche Auskunftsansprüche zugestanden hätten, diese zum Zeitpunkt der Replik verwirkt gewesen wären. Damit waren die entsprechenden Herausgabebegehren abzuweisen.</w:t>
      </w:r>
    </w:p>
    <w:p>
      <w:r>
        <w:t>Die dagegen vorgetragene Rüge geht fehl, denn inwiefern die Vorinstanz der Beschwerdeführerin damit mehr oder anderes zugesprochen haben soll, als diese beantragte, ist nicht ersichtlich. Eine Abweisung der gestellten Anträge könnte unter dem Gesichtspunkt der Dispositionsmaxime einzig dann unzulässig sein, wenn diese von der Gegenpartei anerkannt worden wären. Dies ist vorliegend nicht der Fall. Eine willkürliche Anwendung von § 54 Abs. 2 aZPO/ZH liegt damit nicht vor.</w:t>
      </w:r>
    </w:p>
    <w:p>
      <w:r>
        <w:rPr>
          <w:b/>
        </w:rPr>
        <w:t>E. 4</w:t>
      </w:r>
    </w:p>
    <w:p>
      <w:r>
        <w:t>Die Beschwerdeführerin macht eine Verletzung des Anspruchs auf Beurteilung ihrer Zivilansprüche durch eine richterliche Instanz gemäss Art. 6 Ziff. 1 EMRK bzw. Art. 29a BV geltend, indem die Vorinstanz die Prüfung des im Fusionsvertrag festgesetzten Umtauschverhältnisses "faktisch" an die Q.________ &amp; Cie AG als Gutachterin der Beklagten bzw. die R.________ als Fusionsprüferin "delegierte".</w:t>
      </w:r>
    </w:p>
    <w:p>
      <w:r>
        <w:t>Die Rüge ist offensichtlich unbegründet, wurde die Klage der Beschwerdeführerin doch vom Handelsgericht des Kantons Zürich beurteilt, also einer richterlichen Behörde i.S.v. Art. 29a BV . Der Vorwurf, die Vorinstanz habe die Prüfung des Umtauschverhältnisses an Externe "delegiert", läuft in der Sache auf eine Rüge der Verletzung von Art. 105 FusG hinaus, worauf sogleich einzugehen sein wird.</w:t>
      </w:r>
    </w:p>
    <w:p>
      <w:r>
        <w:rPr>
          <w:b/>
        </w:rPr>
        <w:t>E. 5</w:t>
      </w:r>
    </w:p>
    <w:p>
      <w:r>
        <w:t>Die Beschwerdeführerin wirft der Vorinstanz im Zusammenhang mit der Prüfung, ob das im Fusionsvertrag festgesetzte Umtauschverhältnisses angemessen ist, eine Verletzung von Art. 7 Abs. 1 i.V.m. Art. 105 FusG vor.</w:t>
      </w:r>
    </w:p>
    <w:p>
      <w:r>
        <w:t>Die Vorinstanz habe die Festsetzung des Umtauschverhältnisses in bundesrechtswidriger Weise mit eingeschränkter Kognition summarisch auf Plausibilität hin überprüft bzw. eine blosse Bandbreitenprüfung vorgenommen. Zudem habe sie die Einwendungen der Beschwerdeführerin gegen die Bestimmung des Umtauschverhältnisses missachtet. Schliesslich habe es die Vorinstanz bei der Beurteilung des angemessenen Umtauschverhältnisses unterlassen, den "Marktpreis" zu berücksichtigen, den die Z.________ plc der V.________ LLP für die W.________-Aktien bezahlte. Darin liege ein Verstoss gegen den "Grundsatz der Gleichbehandlung der Aktionäre bei einer Fusion" sowie gegen "Grundsätze der Bewertung", gemäss welchen primär auf den Marktpreis abzustellen sei.</w:t>
      </w:r>
    </w:p>
    <w:p>
      <w:r>
        <w:rPr>
          <w:b/>
        </w:rPr>
        <w:t>E. 5.1.1</w:t>
      </w:r>
    </w:p>
    <w:p>
      <w:r>
        <w:t>Das Bundesgesetz vom 3. Oktober 2003 über Fusion, Spaltung, Umwandlung und Vermögensübertragung (Fusionsgesetz, FusG; SR 221.301) geht vom Grundsatz der mitgliedschaftlichen Kontinuität aus ( BGE 135 III 603 E. 2.1.1). Danach haben bei Fusionen die Gesellschafter der übertragenden Gesellschaft Anspruch auf Anteils- oder Mitgliedschaftsrechte an der übernehmenden Gesellschaft ( Art. 7 Abs. 1 FusG ). Das Umtauschverhältnis für Anteile der übertragenden Gesellschaft in Anteile der übernehmenden Gesellschaft wird im Fusionsvertrag festgelegt, der von den obersten Leitungs- oder Verwaltungsorganen der an der Fusion beteiligten Gesellschaften abgeschlossen wird (Art. 12 i.V.m. Art. 13 Abs. 1 lit. a FusG ). Es muss im Fusionsbericht, der ebenfalls von den genannten Organen zu erstellen ist ( Art. 14 Abs. 1 FusG ), rechtlich und wirtschaftlich erläutert und begründet werden ( Art. 14 Abs. 3 lit. c FusG ). Falls die übernehmende Gesellschaft eine Kapitalgesellschaft oder Genossenschaft mit Anteilscheinen ist, muss das Umtauschverhältnis zudem von einem zugelassenen Revisionsexperten auf Vertretbarkeit überprüft werden (Art. 15 Abs. 1 i.V.m. Abs. 4 lit. b FusG).</w:t>
      </w:r>
    </w:p>
    <w:p>
      <w:r>
        <w:rPr>
          <w:b/>
        </w:rPr>
        <w:t>E. 5.1.2</w:t>
      </w:r>
    </w:p>
    <w:p>
      <w:r>
        <w:t>Geht ein Gesellschafter eines an der Fusion beteiligten Rechtsträgers davon aus, das Umtauschverhältnis sei nicht angemessen, kann er innerhalb von zwei Monaten nach der Veröffentlichung des Fusionsbeschlusses verlangen, dass das Gericht eine angemessene Ausgleichszahlung festsetzt ( Art. 105 Abs. 1 FusG ). Diese so genannte Überprüfungsklage dient der wirtschaftlichen Korrektur einer Verletzung des Prinzips der Kontinuität der Mitgliedschaft. Aktivlegitimiert sind Personen, die durch einen den Grundsatz der mitgliedschaftlichen Kontinuität missachtenden Transaktionsbeschluss in ihrer Stellung als Gesellschafter beeinträchtigt wurden ( BGE 135 III 603 E. 2.1.2).</w:t>
      </w:r>
    </w:p>
    <w:p>
      <w:r>
        <w:rPr>
          <w:b/>
        </w:rPr>
        <w:t>E. 5.1.3</w:t>
      </w:r>
    </w:p>
    <w:p>
      <w:r>
        <w:t>Bei der Bestimmung des Umtauschverhältnisses sind alle relevanten Umstände zu berücksichtigen, insbesondere das Vermögen der beteiligten Gesellschaften und die Verteilung der Stimmrechte ( Art. 7 Abs. 1 FusG ), aber etwa auch die Entwicklungsaussichten der an der Fusion beteiligten Gesellschaften oder die Synergien, die sich aus der Fusion ergeben (Botschaft zum Fusionsgesetz, BBl 2000 4337, S. 4401). Massgebend für die Bestimmung des Vermögens ist der Unternehmenswert zu Fortführungswerten (Urteil 4A_96/2011 vom 20. September 2011 E. 5.4, nicht publ. in: BGE 137 III 577 ). Dieser wird in der Regel aufgrund einer zukunftsbezogenen Ertragsbewertung, verbunden mit einer aktuellen Substanzbewertung, bestimmt ( BGE 136 III 209 E. 6.2.2 S. 215 f.). Dabei können verschiedene in der Betriebswirtschaftslehre anerkannte Bewertungsmethoden angewendet werden, namentlich auch das als gewinnorientierte Methode international anerkannte "Discounted Cash Flow"-Verfahren (dazu BGE 136 III 209 E. 6.2.5 S. 217 f.).</w:t>
      </w:r>
    </w:p>
    <w:p>
      <w:r>
        <w:rPr>
          <w:b/>
        </w:rPr>
        <w:t>E. 5.1.4</w:t>
      </w:r>
    </w:p>
    <w:p>
      <w:r>
        <w:t>Den fusionierenden Gesellschaften kommt bei der Wahl der Bewertungsmethode und der Bewertung der relevanten Umstände ein erheblicher Ermessensspielraum zu (Urteil 4A_96/2011 vom 20. September 2011 E. 5.4, nicht publ. in: BGE 137 III 577 ). Die Festsetzung des Umtauschverhältnisses ist Gegenstand von Verhandlungen zwischen den betroffenen Gesellschaften, wobei auch subjektive und schwer erfassbare Faktoren ins Gewicht fallen können (Botschaft FusG, a.a.O., S. 4401). Es handelt sich dabei letztlich um einen ausgehandelten Geschäftsleitungsentscheid, der vom Gericht nur zurückhaltend überprüft werden kann (vgl. Urteil 4A_306/2009 vom 8. Februar 2010 E. 7.2.4).</w:t>
      </w:r>
    </w:p>
    <w:p>
      <w:r>
        <w:t>Eine justiziable Unangemessenheit des Umtauschverhältnisses liegt im Wesentlichen nur dann vor, wenn dieses in Überschreitung des Ermessensspielraums willkürlich festgesetzt wird (vgl. Botschaft FusG, a.a.O., S. 4401). Dies trifft namentlich zu, wenn die Festsetzung des Umtauschverhältnisses auf falschen oder unvollständigen tatsächlichen Annahmen beruht oder anerkannte Bewertungsgrundsätze und -methoden nicht oder unzutreffend angewendet wurden (Urteil 4A_96/2011 vom 20. September 2011 E. 5.4, nicht publ. in: BGE 137 III 577 ).</w:t>
      </w:r>
    </w:p>
    <w:p>
      <w:r>
        <w:rPr>
          <w:b/>
        </w:rPr>
        <w:t>E. 5.2</w:t>
      </w:r>
    </w:p>
    <w:p>
      <w:r>
        <w:t>Diese Grundsätze hat die Vorinstanz ihrem Urteil korrekt zugrunde gelegt. Ergänzend dazu hat sie zutreffend erwogen, dass es bei der Überprüfungsklage nach Art. 105 FusG nicht um die Festlegung eines objektiv richtigen oder gerechten Werts geht, sondern um die Überprüfung einer Wertbandbreite, innerhalb derer das Umtauschverhältnis noch als angemessen zu betrachten ist (unter Hinweis auf REUTTER/ CLASSEN, Fusionsrechtliche Ausgleichungsklage und börsenrechtliche Preisvorschriften, in: FS Rolf Watter, 2008, S. 390, welche sich ihrerseits stützen auf: KARIN EUGSTER, Die Überprüfung der Anteils- und Mitgliedschaftsrechte nach Art. 105 FusG , Diss. Zürich 2006, S. 133; VON DER CRONE ET AL., Privatrechtliche Aspekte der Ausgleichsleistungen und Abfindungen gemäss FusG, in: FS Peter Böckli, 2006, S. 250 f.).</w:t>
      </w:r>
    </w:p>
    <w:p>
      <w:r>
        <w:t>Diese Wertbandbreite entspricht dem Ermessensspielraum, welcher den Fusionspartnern bei der Bestimmung des Umtauschverhältnisses zusteht (oben E. 5.1.4). Indem die Vorinstanz prüfte, ob das festgelegte Umtauschverhältnis in eine korrekt ermittelte Wertbandbreite fällt, hat sie damit entgegen der Auffassung der Beschwerdeführerin keineswegs ihre Kognition in bundesrechtswidriger Weise eingeschränkt, sondern vielmehr den Ermessensspielraum der Fusionspartner berücksichtigt und respektiert.</w:t>
      </w:r>
    </w:p>
    <w:p>
      <w:r>
        <w:rPr>
          <w:b/>
        </w:rPr>
        <w:t>E. 5.3.1</w:t>
      </w:r>
    </w:p>
    <w:p>
      <w:r>
        <w:t>Gemäss der Vorinstanz hat die von der Beklagten beauftragte Gutachterin, die Q.________ &amp; Cie AG, folgende Bandbreiten für das Austauschverhältnis von Z.________-Aktien pro W.________-Aktie berechnet: Gestützt auf die DCF-Methode eine Bandbreite von 63.7 bis 72.2, gestützt auf die "Comparable Companies"-Methode eine Bandbreite von 63.6 bis 67.2 und gestützt auf die "Market Capitalization"-Methode eine Bandbreite von 67,1 bis 74,2. Das im Fusionsvertrag festgelegte Verhältnis von 72 Z.________-Aktien pro W.________-Aktie lag damit am oberen Ende bzw. gar oberhalb dieser Bandbreiten und wurde von der R.________ als Revisionsexpertin und Fusionsprüferin für vertretbar befunden.</w:t>
      </w:r>
    </w:p>
    <w:p>
      <w:r>
        <w:t>Die Beschwerdeführerin hat vor der Vorinstanz demgegenüber eine Wertbandbreite von 48 bis 96 als korrekt postuliert, in die das von ihr geforderte höhere Umtauschverhältnis fiele, das dem an die V.________ LLP bezahlten Preis entspricht. Hierzu erwog die Vorinstanz, dass auch das im Fusionsvertrag festgesetzte Umtauschverhältnis von 72:1 in die von der Beschwerdeführerin postulierte Wertbandbreite fiele. Selbst wenn also das von der Beschwerdeführerin geforderte Umtauschverhältnis innerhalb der "korrekten" Bandbreite liegen würde, bedeutete dies nicht, dass das von den Fusionsparteien gewählte Umtauschverhältnis von 72:1 nicht angemessen wäre. Zur Kritik der Beschwerdeführerin, dass das Gutachten Q.________ die Durchschnittswerte der letzten sechs bis zwölf Monate ausser Acht gelassen habe, führte die Vorinstanz aus, dass selbst ein Einbezug dieser Werte lediglich zur Folge gehabt hätte, dass das obere Ende der Bandbreite weiter nach oben verschoben worden wäre, das Umtauschverhältnis von 72:1 aber dennoch innerhalb dieser Bandbreite gelegen hätte. Schliesslich hätte die Variierung der einzelnen Bewertungsparameter der DCF-Bewertung im Sinne der Beschwerdeführerin lediglich zur Folge, dass die Bandbreite erweitert würde. Aus einer solchermassen erweiterten Bandbreite würde das Verhältnis von 72:1 aber nicht fallen. Betreffend die von der Beschwerdeführerin weiter geltend gemachten angeblichen Fehler der Q.________ &amp; Cie AG bei der DCF-Bewertung, d.h. die Nichtberücksichtigung von Synergien und die Überbewertung von Immobilien, führte die Vorinstanz aus, es sei in der Lehre umstritten, ob das Umtauschverhältnis aufgrund von Stand-alone-Bewertungen oder unter Berücksichtigung von Synergien zu berechnen ist. Die Anwendung der einen oder anderen Methode müsse im Ermessen der Fusionspartner stehen. In Bezug auf die Überbewertung von Immobilien infolge der Überhitzung des Marktes führte die Vorinstanz aus, es sei vertretbar gewesen, auf Bewertungen der Immobilien entsprechend dem damaligen Marktumfeld abzustellen.</w:t>
      </w:r>
    </w:p>
    <w:p>
      <w:r>
        <w:rPr>
          <w:b/>
        </w:rPr>
        <w:t>E. 5.3.2</w:t>
      </w:r>
    </w:p>
    <w:p>
      <w:r>
        <w:t>Mit diesen Erwägungen hat die Vorinstanz entgegen der Auffassung der Beschwerdeführerin die wesentlichen Einwände gegen die Bestimmung des Umtauschverhältnisses geprüft und beachtet. Mit ihrer überwiegend appellatorischen Kritik vermag die Beschwerdeführerin die entsprechenden Erwägungen nicht als bundesrechtswidrig auszuweisen. Vielmehr beschränkt sie sich im Wesentlichen darauf, eine eigene Berechnung des Umtauschverhältnisses vorzutragen. Dabei verkennt sie, dass es bei der Beurteilung der Angemessenheit im Rahmen der Überprüfungsklage nicht um die Bestimmung eines konkreten Umtauschverhältnisses geht, sondern um die Beurteilung, ob sich das von den Fusionspartnern festgesetzte Umtauschverhältnis innerhalb des ihnen zustehenden Ermessensspielraums bewegt. Dass das vorliegend festgesetzte Umtauschverhältnis von 72:1 aus dem entsprechenden Ermessensspielraum fiele, legt die Beschwerdeführerin nicht dar. Die Rüge, die Vorinstanz habe die Einwendungen gegen die Bestimmung des Umtauschverhältnisses nicht berücksichtigt, geht fehl.</w:t>
      </w:r>
    </w:p>
    <w:p>
      <w:r>
        <w:rPr>
          <w:b/>
        </w:rPr>
        <w:t>E. 5.4.1</w:t>
      </w:r>
    </w:p>
    <w:p>
      <w:r>
        <w:t>Zur Behauptung der Beschwerdeführerin, dass das im Fusionsvertrag festgesetzte Umtauschverhältnis den von der Z.________ plc mit der V.________ LLP vereinbarten Preis für die W.________-Aktien ignoriere, führte die Vorinstanz aus, dass das Fusionsrecht im Gegensatz zum Börsenrecht weder eine Mindestpreisregel noch eine Best Price Rule kenne. Zudem finde das "fusionsrechtliche Gleichbehandlungsgebot", verstanden als Anspruch der Aktionäre der übertragenden Gesellschaft auf ein gleiches Umtauschverhältnis für ihre Anteile an der übertragenden Gesellschaft in Anteile der übernehmenden Gesellschaft (vgl. Art. 7 Abs. 1 FusG ), nur auf Fusionen und die dabei involvierten Parteien Anwendung.</w:t>
      </w:r>
    </w:p>
    <w:p>
      <w:r>
        <w:t>Die Vorinstanz stellte fest, dass die Z.________ plc das W.________-Aktienpaket von der V.________ LLP jedenfalls eine logische Sekunde vor der Fusion zwischen der Beklagten und der W.________ Holding AG erworben hat. Die V.________ LLP war damit nicht als W.________-Aktionärin in die Fusion involviert. Eine direkte Anwendung bzw. zeitliche Ausdehnung des fusionsrechtlichen "Gleichbehandlungsgebotes" ist gemäss der Vorinstanz daher ausgeschlossen. Der Z.________ plc sei es frei gestanden, vor der Fusion von der V.________ LLP ein Aktienpaket zu erwerben und dafür den Preis auszuhandeln. Wäre die Transaktion mit der V.________ LLP nicht zu einem höheren Preis, sondern zu einem tieferen Preis abgewickelt worden, würde die Beschwerdeführerin wohl auch nicht geltend machen, dass sie deswegen nur einen tieferen Preis zugute hätte.</w:t>
      </w:r>
    </w:p>
    <w:p>
      <w:r>
        <w:t>Hinsichtlich der Unternehmensbewertung hielt die Vorinstanz fest, dass der zwischen der Z.________ plc und der V.________ LLP ausgehandelte Preis für das W.________-Aktienpaket bestenfalls etwas darüber aussage, wie die Z.________ plc und die V.________ LLP die W.________ Holding AG bewerteten. Den eigenen Bewertungen zweier privater Gesellschaften könne kein grösseres Gewicht zukommen als einer anderen sorgfältig nach anerkannten Grundsätzen ausgearbeiteten Bewertung. Die Tatsache, dass ein grosses Aktienpaket verkauft wurde, lasse zwar im Idealfall vermuten, dass die Parteien ihre Bewertungen sorgfältig erstellten, doch genössen diese keinen Vorrang vor anderen Bewertungen. Es könne nämlich weder ausgeschlossen werden, dass die V.________ LLP oder die Z.________ plc die W.________-Aktien "falsch" bewerteten, noch dass die Z.________ plc unvernünftig handelte und einen Preis bezahlte, der über ihrer eigenen Bewertung der Aktien lag. Vieles hänge in solchen Fällen vom Gang der Vertragsverhandlungen ab. Für die Bestimmung des angemessenen Umtauschverhältnisses i.S. von Art. 7 Abs. 1 FusG müsste ebenso unberücksichtigt bleiben, wenn die Z.________ plc - allenfalls zum Nachteil ihrer eigenen Aktionäre - einen zu hohen Preis für die W.________-Aktien bezahlt hätte, wie auch ein "Discount"-Preis nicht zu einem tieferen Umtauschverhältnis führen dürfte.</w:t>
      </w:r>
    </w:p>
    <w:p>
      <w:r>
        <w:rPr>
          <w:b/>
        </w:rPr>
        <w:t>E. 5.4.2</w:t>
      </w:r>
    </w:p>
    <w:p>
      <w:r>
        <w:t>Die von der Beschwerdeführerin gegen diese Erwägungen vorgetragenen Einwände verfangen nicht.</w:t>
      </w:r>
    </w:p>
    <w:p>
      <w:r>
        <w:t>Der Anspruch auf Wahrung der Anteils- und Mitgliedschaftsrechte steht nach dem Wortlaut von Art. 7 Abs. 1 FusG den "Gesellschafterinnen und Gesellschaftern der übertragenden Gesellschaft" zu, d.h. denjenigen Personen, die im Moment der Fusion über eine Gesellschafterstellung in der übertragenden Gesellschaft verfügen. Personen, die im Moment der Fusion nicht Gesellschafter der übertragenden Gesellschaft sind, fallen nicht in den Anwendungsbereich von Art. 7 Abs. 1 FusG und sind damit auch nicht Adressaten des im Fusionsvertrag festgesetzten Umtauschverhältnisses.</w:t>
      </w:r>
    </w:p>
    <w:p>
      <w:r>
        <w:t>Die V.________ LLP war im Moment der Fusion nicht mehr W.________-Aktionärin und damit von Art. 7 Abs. 1 FusG nicht erfasst. Der zwischen der Beklagten und der V.________ LLP via die Z.________ plc erfolgte Aktientausch fand vor der Absorptionsfusion zwischen der Beklagten und der W.________ Holding AG statt und berührte damit die Kontinuität der Anteils- und Mitgliedschaftsrechte der an der Fusion beteiligten Aktionäre nicht. Aus Art. 7 Abs. 1 i.V.m. Art. 105 FusG können die an der Fusion beteiligten Aktionäre der W.________ Holding AG lediglich eine angemessene Wahrung der mitgliedschaftlichen Kontinuität im Rahmen der Fusion geltend machen. Dass sich aus Art. 7 Abs. 1 FusG darüber hinaus ein mittels Überprüfungsklage durchsetzbarer Anspruch ableiten liesse, zu gleichen Bedingungen abgefunden zu werden, wie Aktionäre in ausserhalb der Fusion abgewickelten Transaktionen, wird hingegen weder in der Lehre noch in der Rechtsprechung vertreten. Die Rüge, die Vorinstanz habe gegen ein wie auch immer geartetes "Gleichbehandlungsgebot" verstossen, geht fehl.</w:t>
      </w:r>
    </w:p>
    <w:p>
      <w:r>
        <w:t>Hinsichtlich der Rüge, dass nur eine Unternehmensbewertung gesetzeskonform sei, die sich an dem an die V.________ LLP für die W.________-Aktien bezahlten "Marktpreis" orientiert, ist vollumfänglich auf die zutreffenden Ausführungen der Vorinstanz (E. 3.4.5 des angefochtenen Entscheids) zu verweisen. Entgegen der Auffassung der Beschwerdeführerin gibt es bei der Bestimmung des Umtauschverhältnisses nach Art. 7 FusG keinen absoluten Vorrang der Bewertung nach dem "Marktpreis" vor anderen Methoden, namentlich der DCF-Methode (vgl. oben E. 5.1.3 f.).</w:t>
      </w:r>
    </w:p>
    <w:p>
      <w:r>
        <w:rPr>
          <w:b/>
        </w:rPr>
        <w:t>E. 6.1</w:t>
      </w:r>
    </w:p>
    <w:p>
      <w:r>
        <w:t>Die Beschwerde erweist sich damit in der Hauptsache als unbegründet, soweit darauf einzutreten ist.</w:t>
      </w:r>
    </w:p>
    <w:p>
      <w:r>
        <w:rPr>
          <w:b/>
        </w:rPr>
        <w:t>E. 6.2</w:t>
      </w:r>
    </w:p>
    <w:p>
      <w:r>
        <w:t>Die Beschwerdeführerin richtet diverse Rügen gegen den vorinstanzlichen Kostenentscheid. Soweit sie diesen gesondert, d.h. unabhängig vom Ausgang der Hauptsache anfechten will, ist fraglich, ob ihre Beschwerdeanträge überhaupt den Anforderungen an ein reformatorisches Rechtsbegehren genügen (vgl. oben E. 1.2). Denn ein (ausdrücklicher) Eventualantrag auf Abänderung der vorinstanzlichen Kostenregelung bei Unterliegen im Hauptpunkt lässt sich der Beschwerde nicht entnehmen, womit auf die entsprechenden Rügen grundsätzlich nicht einzutreten ist (vgl. Urteil 4A_164/2011 vom 10. November 2011 E. 1.3). Dies gilt insbesondere mit Blick auf die Rüge, die Vorinstanz habe bei der Festsetzung der Höhe der Gerichtsgebühr gegen das Äquivalenzprinzip verstossen, geht doch diesbezüglich aus der Beschwerdebegründung auch nicht ein implizit hinreichend bezifferter Eventualantrag hervor.</w:t>
      </w:r>
    </w:p>
    <w:p>
      <w:r>
        <w:rPr>
          <w:b/>
        </w:rPr>
        <w:t>E. 6.3</w:t>
      </w:r>
    </w:p>
    <w:p>
      <w:r>
        <w:t>Soweit aus der Beschwerdebegründung demgegenüber implizit darauf zu schliessen sein sollte, die Beschwerdeführerin verlange gestützt auf Art. 105 Abs. 3 FusG selbst für den Fall ihres Unterliegens in der Hauptsache eine vollumfängliche Überwälzung der vorinstanzlichen Gerichtskosten auf die Beschwerdegegnerin, wären die entsprechenden Rügen unbegründet:</w:t>
      </w:r>
    </w:p>
    <w:p>
      <w:r>
        <w:t>Art. 105 Abs. 3 FusG sieht vor, dass der übernehmende Rechtsträger die Kosten des Verfahrens trägt, wobei das Gericht die Kosten ganz oder teilweise den Klägerinnen oder Klägern auferlegen kann, wenn besondere Umstände es rechtfertigen. Solche Umstände liegen namentlich dann vor, wenn die Klage offensichtlich unbegründet ist und sich die Klägerin dessen hätte bewusst sein müssen oder wenn sie die Klage böswillig erhoben hat, um eine Gesellschaft zu erpressen oder ihr zu schaden ( BGE 135 III 603 E. 2.1.2 S. 606). Die Vorinstanz kam zum Schluss, dass die Beschwerdeführerin zwar nicht böswillig geklagt habe, jedoch hätte wissen müssen, dass es im Rahmen einer Überprüfungsklage nach Art. 105 FusG nicht darum gehen kann, lediglich eigene Bewertungen an Stelle anderer vorzunehmen. Genau dies habe die Beschwerdeführerin aber getan, womit die Stossrichtung ihrer Klage von vornherein nicht verfangen habe. Aus diesem Grund auferlegte die Vorinstanz die Gerichtskosten beiden Parteien je zur Hälfte.</w:t>
      </w:r>
    </w:p>
    <w:p>
      <w:r>
        <w:t>Dies ist entgegen der Auffassung der Beschwerdeführerin bundesrechtlich nicht zu beanstanden, zumal es sich bei der Würdigung der besonderen Umstände um einen Billigkeitsentscheid nach Art. 4 ZGB handelt, den das Bundesgericht nur mit Zurückhaltung überprüft.</w:t>
      </w:r>
    </w:p>
    <w:p>
      <w:r>
        <w:rPr>
          <w:b/>
        </w:rPr>
        <w:t>E. 7</w:t>
      </w:r>
    </w:p>
    <w:p>
      <w:r>
        <w:t>Bei diesem Ausgang des Verfahrens wird die Beschwerdeführerin kosten- und entschädigungspflichtig ( Art. 66 Abs. 1 und Art. 68 Abs. 2 BGG ). Umstände, die eine andere Kostenverteilung rechtfertigen würden (vgl. BGE 137 III 522 E. 8.4 S. 579),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