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33/2021 vom 19. Juli 2021</w:t>
      </w:r>
    </w:p>
    <w:p>
      <w:r>
        <w:t>Bundesgericht, 2021-07-19, DE</w:t>
      </w:r>
    </w:p>
    <w:p>
      <w:r>
        <w:rPr>
          <w:b/>
        </w:rPr>
        <w:t xml:space="preserve">Quelle: </w:t>
      </w:r>
      <w:r>
        <w:t>https://mcp.opencaselaw.ch/entscheid/bger_4A_33_2021</w:t>
      </w:r>
    </w:p>
    <w:p>
      <w:r>
        <w:t>FR: TF 4A 33/2021 du 19 juillet 2021</w:t>
      </w:r>
    </w:p>
    <w:p>
      <w:r>
        <w:t>IT: TF 4A 33/2021 del 19 luglio 2021</w:t>
      </w:r>
    </w:p>
    <w:p>
      <w:pPr>
        <w:pStyle w:val="Heading2"/>
      </w:pPr>
      <w:r>
        <w:t>Regeste</w:t>
      </w:r>
    </w:p>
    <w:p>
      <w:r>
        <w:t>Arbeitsvertrag; Forderung | Vertragsrecht</w:t>
      </w:r>
    </w:p>
    <w:p>
      <w:pPr>
        <w:pStyle w:val="Heading2"/>
      </w:pPr>
      <w:r>
        <w:t>Erwägungen</w:t>
      </w:r>
    </w:p>
    <w:p>
      <w:r>
        <w:rPr>
          <w:b/>
        </w:rPr>
        <w:t>E. 1.1</w:t>
      </w:r>
    </w:p>
    <w:p>
      <w:r>
        <w:t>Die Beschwerdeschrift hat unter anderem die Rechtsbegehren und deren Begründung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136 V 131 E. 1.2; 134 III 379 E. 1.3; 133 III 489 E. 3.1; je mit Hinweisen). Der Beschwerdeführer beantragt in der Hauptsache, es sei das vorinstanzliche Urteil vollumfänglich aufzuheben und ihm ein bestimmter Geldbetrag zuzusprechen. Eine Begründung dieses Rechtsbegehrens findet sich in der Beschwerdeschrift jedoch nicht, weshalb darauf nicht einzutreten ist. Mithin verbleibt bloss das Eventualbegehren auf Rückweisung an die Vorinstanz. Da der Beschwerdeführer dieses mit formellen Rügen begründet und das Bundesgericht bei deren Gutheissung keinen Entscheid in der Sache fällen könnte, ist auf das Eventualbegehren - unter Vorbehalt genügender Begründung ( Art. 42 Abs. 2 BGG ) - einzutreten.</w:t>
      </w:r>
    </w:p>
    <w:p>
      <w:r>
        <w:rPr>
          <w:b/>
        </w:rPr>
        <w:t>E. 1.2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und weitere Eingaben sind mithin nur zu Darlegungen zu verwenden, zu denen die Ausführungen in der Vernehmlassung eines anderen Verfahrensbeteiligten Anlass geben. Soweit der Beschwerdeführer in seiner Replik und seinen weiteren Eingaben, welche allesamt nach Ablauf der Beschwerdefrist von Art. 100 Abs. 1 BGG eingereicht wurden, darüber hinausgeht, insbesondere indem er in jener vom 22. April 2021 (Sachverhalt lit. C hiervor) zusätzliche Rechtsbegehren stellt, ist er nicht zu hören.</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Umstritten ist, ob der Beschwerdeführer aufgrund seines Geschlechts bei der Entlöhnung diskriminiert worden ist.</w:t>
      </w:r>
    </w:p>
    <w:p>
      <w:r>
        <w:rPr>
          <w:b/>
        </w:rPr>
        <w:t>E. 3.1</w:t>
      </w:r>
    </w:p>
    <w:p>
      <w:r>
        <w:t>Gemäss Art. 8 Abs. 3 Satz 3 BV haben Frau und Mann Anspruch auf gleichen Lohn für gleichwertige Arbeit. Nach Art. 3 Abs. 1 GlG dürfen Arbeitnehmerinnen und Arbeitnehmer aufgrund ihres Geschlechts weder direkt noch indirekt benachteiligt werden. Dieses Verbot gilt insbesondere für die Anstellung, Aufgabenzuteilung, Gestaltung der Arbeitsbedingungen, Entlöhnung, Aus- und Weiterbildung, Beförderung und Entlassung ( Art. 3 Abs. 2 GlG ). Eine direkte Diskriminierung liegt vor, wenn sich eine Ungleichbehandlung ausdrücklich auf die Geschlechtszugehörigkeit oder auf ein Kriterium stützt, das nur von einem der beiden Geschlechter erfüllt werden kann, und wenn sie sich nicht sachlich rechtfertigen lässt ( BGE 145 II 153 E. 4.3.5; 124 II 409 E. 7; 124 II 529 E. 3a ; 125 I 71 E. 2a). Von einer indirekten Diskriminierung ist hingegen auszugehen, wenn eine formal geschlechtsneutrale Regelung im Ergebnis wesentlich mehr bzw. überwiegend Angehörige des einen Geschlechts gegenüber denjenigen des anderen benachteiligt, ohne dass dies sachlich begründet wäre ( BGE 144 II 65 E. 4.1; 141 II 411 E. 6.1.2; 125 II 71 E. 2a; 124 II 409 E. 7). Wer von einer Diskriminierung im Sinne von Art. 3 GlG betroffen ist, kann dem Gericht unter anderem beantragen, die Zahlung des geschuldeten Lohns anzuordnen ( Art. 5 Abs. 1 lit. d GlG ). Lohnvergleiche sind grundsätzlich nur zwischen Beschäftigten bei demselben Arbeitgeber zulässig. Vergleiche der von zwei verschiedenen Arbeitgebern ausbezahlten Löhne können höchstens bei Verflechtungen zulässig sein, das heisst wenn der eine Arbeitgeber auf das Lohnsystem des anderen Arbeitgebers Einfluss nehmen kann (Urteil 1C_405/2007 vom 22. Oktober 2008 E. 4.3 mit Hinweisen). Nicht diskriminierend sind nach der Rechtsprechung in der Regel Lohnunterschiede, die auf objektiven Gründen beruhen. Dazu gehören etwa Gründe, die den Wert der Arbeit selbst beeinflussen können, wie Ausbildung, Dienstalter, Qualifikation, Erfahrung, konkreter Aufgabenbereich, Leistung oder Risiken ( BGE 141 II 411 E. 6.1.2; 136 II 393 E. 11.3; 130 III 145 E. 5.2; 125 III 368 E. 5; 124 II 409 E. 9c, 436 E. 7a; je mit Hinweisen). Gemäss Art. 6 GlG wird bezüglich der Entlöhnung eine Diskriminierung vermutet, wenn diese von der betroffenen Person glaubhaft gemacht wird. Gegebenenfalls trifft den Arbeitgeber der Beweis, dass die unterschiedliche Entlöhnung sachlich gerechtfertigt ist. Bei dieser Vorschrift handelt es sich - gemäss Artikelüberschrift - um eine Beweislasterleichterung, die als Spezialbestimmung der Beweisregel von Art. 8 ZGB vorgeht ( BGE 144 II 65 E. 4.2.1). Wurde eine Lohndiskriminierung im Sinne des Art. 6 GlG glaubhaft gemacht, ist der Arbeitgeber zum Nachweis verpflichtet, dass die geringere Entlöhnung in Wirklichkeit nicht geschlechtsdiskriminierend, sondern durch sachliche Gründe gerechtfertigt ist; misslingt ihm dies, gilt die geschlechtsspezifische Benachteiligung als erstellt ( BGE 142 II 49 E. 6.3; 136 II 393 E. 11.3).</w:t>
      </w:r>
    </w:p>
    <w:p>
      <w:r>
        <w:rPr>
          <w:b/>
        </w:rPr>
        <w:t>E. 3.2</w:t>
      </w:r>
    </w:p>
    <w:p>
      <w:r>
        <w:t>Der Beschwerdeführer machte vor der Erstinstanz eine direkte Lohndiskriminierung geltend. Er brachte vor, C.________ habe dieselbe Funktion wie er ausgeübt, dafür jedoch ein deutlich höheres Salär erhalten. Die Erstinstanz betrachtete C.________ nicht als taugliche Referenzperson, um eine Lohndiskriminierung glaubhaft zu machen, da sie nicht bei derselben Arbeitgeberin angestellt gewesen sei. Die Vorinstanz schützte diese Beurteilung und hielt fest, entgegen seinen Vorbringen sei der Beschwerdeführer nicht der Nachfolger von C.________ als Chief Financial Officer (nachfolgend: CFO) der B.________-Gruppe gewesen. Eine nach seiner Anstellung "kurz darauffolgende" Beförderung zum Gruppen-CFO sei aus den vorgelegten Unterlagen nicht ersichtlich. Er habe mithin nicht glaubhaft gemacht, dass C.________ die gleiche Position wie er innegehabt habe. Und selbst wenn der Beschwerdeführer und C.________ die gleichen Aufgaben erledigt hätten, würde dies keinen Diskriminierungsanspruch begründen, da C.________ bei einer anderen Lohnschuldnerin, nämlich der B.B.________ Inc., und nicht der Beschwerdegegnerin angestellt gewesen sei.</w:t>
      </w:r>
    </w:p>
    <w:p>
      <w:r>
        <w:rPr>
          <w:b/>
        </w:rPr>
        <w:t>E. 3.3</w:t>
      </w:r>
    </w:p>
    <w:p>
      <w:r>
        <w:t>Der Beschwerdeführer rügt eine willkürliche antizipierte Beweiswürdigung durch die unterlassene Einvernahme von C.________.</w:t>
      </w:r>
    </w:p>
    <w:p>
      <w:r>
        <w:rPr>
          <w:b/>
        </w:rPr>
        <w:t>E. 3.3.1</w:t>
      </w:r>
    </w:p>
    <w:p>
      <w:r>
        <w:t>Es sei unbestritten, dass er den Antrag auf Befragung von C.________ form- und fristgerecht gestellt habe. Dass deren Befragung nicht tauglich sei, um die von ihm behaupteten Tatsachen zu beweisen, sei abwegig. C.________ sei vormalige CFO der damaligen Konzernobergesellschaft B.B.________ Inc. Er, so der Beschwerdeführer, habe die gleichen Aufgaben wie sie wahrgenommen.</w:t>
      </w:r>
    </w:p>
    <w:p>
      <w:r>
        <w:rPr>
          <w:b/>
        </w:rPr>
        <w:t>E. 3.3.2</w:t>
      </w:r>
    </w:p>
    <w:p>
      <w:r>
        <w:t>Der Beschwerdeführer behauptet pauschal, vor der Erstinstanz den Antrag auf Befragung von C.________ gestellt zu haben, führt jedoch weder an, zu welchem Beweisthema dieser Antrag gestellt wurde noch zeigt er durch präzise Aktenhinweise auf, wo sich dieser Antrag in den Akten finden lässt. Damit begründet er seine Rüge nicht hinreichend (vgl. E. 2.1 hiervor), weshalb auf diese nicht einzutreten ist.</w:t>
      </w:r>
    </w:p>
    <w:p>
      <w:r>
        <w:rPr>
          <w:b/>
        </w:rPr>
        <w:t>E. 3.4</w:t>
      </w:r>
    </w:p>
    <w:p>
      <w:r>
        <w:t>Da der Beschwerdeführer keine weiteren Rügen betreffend die Ablehnung der Vorinstanz vorbringt, C.________ als taugliche Referenzperson anzuerkennen, kann offenbleiben, ob unternehmensübergreifende Verflechtungen bestanden, die einen Lohnvergleich zwischen C.________ trotz Anstellung bei verschiedenen Arbeitgebern ermöglichen würden. Folglich ist auf die weitere Rüge nicht einzugehen, wonach der Verzicht der Vorinstanz willkürlich sei, D.________ nicht zum Beweisthema der Einflussnahme auf das Lohnsystem der B.________-Gruppe zu befragen.</w:t>
      </w:r>
    </w:p>
    <w:p>
      <w:r>
        <w:rPr>
          <w:b/>
        </w:rPr>
        <w:t>E. 4</w:t>
      </w:r>
    </w:p>
    <w:p>
      <w:r>
        <w:t>Neben dem Antrag auf Anordnung der Zahlung des geschuldeten Lohns gestützt auf Art. 5 Abs. 1 lit. d GlG wegen Lohdiskriminierung (E. 3 hiervor), ersuchte der Beschwerdeführer die Erstinstanz unter anderem, die Kündigung als missbräuchlich im Sinne von Art. 10 GlG zu erklären. Sowohl die Erst- als auch die Vorinstanz erachteten die Kündigung nicht als missbräuchlich.</w:t>
      </w:r>
    </w:p>
    <w:p>
      <w:r>
        <w:rPr>
          <w:b/>
        </w:rPr>
        <w:t>E. 4.1</w:t>
      </w:r>
    </w:p>
    <w:p>
      <w:r>
        <w:t>Nach Art. 10 Abs. 1 GlG ist die Kündigung des Arbeitsverhältnisses durch den Arbeitgeber anfechtbar, wenn sie ohne begründeten Anlass auf eine innerbetriebliche Beschwerde über eine Diskriminierung oder auf die Anrufung der Schlichtungsstelle oder des Gerichts durch die Arbeitnehmerin oder den Arbeitnehmer folgt. Dafür ist gemäss Art. 10 Abs. 3 GlG jedoch vorausgesetzt, dass die Kündigung vor Ende der Kündigungsfrist beim Gericht angefochten wurde.</w:t>
      </w:r>
    </w:p>
    <w:p>
      <w:r>
        <w:rPr>
          <w:b/>
        </w:rPr>
        <w:t>E. 4.2</w:t>
      </w:r>
    </w:p>
    <w:p>
      <w:r>
        <w:t>Der Beschwerdeführer rügt pauschal, die Vorinstanz habe die Beweise willkürlich antizipiert gewürdigt, da sie D.________ nicht als Zeuge einvernommen habe. Soweit sich diese Rüge auf das Beweisthema der innerbetrieblichen Diskriminierungsbeschwerde bezieht (im Übrigen kann - wie in E. 3.4 erwähnt - offenbleiben, ob die unterlassene Einvernahme von D.________ zu einer willkürlichen Beweiswürdigung führte), ist ihm nicht zu folgen. Dazu müsste er nämlich darlegen, inwiefern der geänderte Sachverhalt für den Ausgang des Verfahrens entscheidend sein könnte (vgl. Art. 97 Abs. 1 BGG und E. 2.3 hiervor). Wie die Beschwerdegegnerin zutreffend vorbringt, äussert sich der Beschwerdeführer hierzu mit keinem Wort, weshalb er den Rügeanforderungen nicht genügt. Die Relevanz der Einvernahme von D.________ ist nämlich nicht ohne Weiteres einsichtig, hielt doch die Vorinstanz mit der Erstinstanz fest, das Arbeitsverhältnis habe am 31. Mai 2014 geendet, weshalb die Klagefrist nach Art. 10 Abs. 3 GlG verwirkt sei. Gegen dieses Ergebnis wendet sich der Beschwerdeführer nicht. Aufgrund der Verwirkung der Klagefrist kann offenbleiben, ob der Beschwerdeführer überhaupt eine Diskriminierungsbeschwerde eingereicht hatte. Insofern hätte auch die Befragung von D.________ zu diesem Themenkomplex nicht zu einer Gutheissung des Antrags geführt.</w:t>
      </w:r>
    </w:p>
    <w:p>
      <w:r>
        <w:rPr>
          <w:b/>
        </w:rPr>
        <w:t>E. 5</w:t>
      </w:r>
    </w:p>
    <w:p>
      <w:r>
        <w:t>Den Rz. 44 ff. der Beschwerdeschrift kann ein weiterer, in den Rechtsbegehren nicht ausdrücklich aufgeführter, Antrag entnommen werden, demzufolge der Beschwerdeführer - mutmasslich für den Fall der Abweisung seiner Beschwerde - die Höhe der ihm im erstinstanzlichen Verfahren auferlegten Parteikostenentschädigung als willkürlich rügt. Allerdings stellt er keinen Antrag, auf welchen Betrag die Entschädigung hätte festgesetzt werden sollen. Eine Bezifferung wäre jedoch notwendig ( BGE 134 III 235 E. 2) - und zwar auch bei Anfechtung der Prozesskosten des kantonalen Verfahrens ( BGE 143 III 111 E. 1.2; Urteile 4A_653/2018 und 4A_657/2018 vom 14. November 2019 E. 3; 4D_44/2017 vom 30. Oktober 2017 E. 4.2). Folglich ist auf diese Rüge nicht einzutreten. Entgegen den Vorbringen des Beschwerdeführers in seiner (unaufgeforderten) Replik, kann aus der Beschwerdeschrift nicht abgeleitet werden, dass er die Reduktion auf Fr. 18'000.-- begehrt, was - seiner Ansicht nach - für den vorliegenden Fall dem in der Luzerner Justizkostenverordnung vorgesehenen Maximalbetrag entspricht, verlangte er doch vor der Vorinstanz (subeventualiter), die Parteientschädigung auf Fr. 36'000.-- festzusetzen (Sachverhalt lit. B.b). Des Weiteren kann auch nicht auf den in der Replik erwähnten Betrag abgestellt werden, da eine Ergänzung der Beschwerde durch Ausführungen in nachfolgenden Eingaben unzulässig ist (vgl. E. 1.2 hiervor).</w:t>
      </w:r>
    </w:p>
    <w:p>
      <w:r>
        <w:rPr>
          <w:b/>
        </w:rPr>
        <w:t>E. 6</w:t>
      </w:r>
    </w:p>
    <w:p>
      <w:r>
        <w:t>Die Beschwerde ist abzuweisen, soweit darauf einzutreten ist. Der Antrag auf Wiedererwägung der Verfügung betreffend aufschiebende Wirkung vom 18. März 2021 wird mit vorliegendem Entscheid in der Sache gegenstandslos.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