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33/2020 vom 7. Oktober 2020</w:t>
      </w:r>
    </w:p>
    <w:p>
      <w:r>
        <w:t>Bundesgericht, 2020-10-07, DE</w:t>
      </w:r>
    </w:p>
    <w:p>
      <w:r>
        <w:rPr>
          <w:b/>
        </w:rPr>
        <w:t xml:space="preserve">Quelle: </w:t>
      </w:r>
      <w:r>
        <w:t>https://mcp.opencaselaw.ch/entscheid/bger_4A_33_2020</w:t>
      </w:r>
    </w:p>
    <w:p>
      <w:r>
        <w:t>FR: TF 4A 33/2020 du 7 octobre 2020</w:t>
      </w:r>
    </w:p>
    <w:p>
      <w:r>
        <w:t>IT: TF 4A 33/2020 del 7 ottobre 2020</w:t>
      </w:r>
    </w:p>
    <w:p>
      <w:pPr>
        <w:pStyle w:val="Heading2"/>
      </w:pPr>
      <w:r>
        <w:t>Regeste</w:t>
      </w:r>
    </w:p>
    <w:p>
      <w:r>
        <w:t>Mietvertrag; Passivlegitimation, Prozesskosten, | Vertragsrecht</w:t>
      </w:r>
    </w:p>
    <w:p>
      <w:pPr>
        <w:pStyle w:val="Heading2"/>
      </w:pPr>
      <w:r>
        <w:t>Erwägungen</w:t>
      </w:r>
    </w:p>
    <w:p>
      <w:r>
        <w:rPr>
          <w:b/>
        </w:rPr>
        <w:t>E. 1</w:t>
      </w:r>
    </w:p>
    <w:p>
      <w:r>
        <w:t>Das Bundesgericht prüft von Amtes wegen und mit freier Kognition, ob ein Rechtsmittel zulässig ist ( BGE 141 III 395 E. 2.1 S. 397 mit Hinweisen). Der angefochtene Beschluss des Obergerichts des Kantons Solothurn ist ein Endentscheid im Sinne von Art. 90 BGG (vgl. Urteil 4A_249/2018 vom 12. Juli 2018 E. 1.1).</w:t>
      </w:r>
    </w:p>
    <w:p>
      <w:r>
        <w:rPr>
          <w:b/>
        </w:rPr>
        <w:t>E. 1.1</w:t>
      </w:r>
    </w:p>
    <w:p>
      <w:r>
        <w:t>Vor Bundesgericht ist nur noch der vorinstanzliche Kostenentscheid streitig. Die Zulässigkeit der Beschwerde gegen einen solchen Nebenpunkt richtet sich - entgegen der Ansicht des Beschwerdegegners - nach der Hauptsache ( BGE 137 III 47 E. 1.2.3 S. 48). Die Hauptsache betrifft die Erstreckung des Mietverhältnisses; sie ist für die Frage des Eintretens massgebend. In mietrechtlichen Fällen ist die Beschwerde in Zivilsachen zulässig, sofern der Streitwert mindestens Fr. 15'000.-- beträgt ( Art. 74 Abs. 1 lit. a BGG ). Der Streitwert bestimmt sich nach den vor der Vorinstanz streitig gebliebenen Begehren ( Art. 51 Abs. 1 lit. a BGG ; BGE 137 III 47 E. 1.2.2 S. 48). Der Beschwerdeführer beantragte ursprünglich, die Kündigung per 30. Juni 2018 sei als missbräuchlich zu erklären. Dies führte unter Berücksichtigung von Art. 271a Abs. 1 lit. e OR und der einschlägigen Praxis zu einem Streitwert von Fr. 43'200.-- (vgl. BGE 144 III 346 E. 1.2.2.2 f. S. 348 f.). Im Berufungsverfahren beantragte der Beschwerdeführer zuletzt, das Mietverhältnis sei bis zum 31. Oktober 2019 zu erstrecken, was einen Streitwert von Fr. 19'200.-- ergibt. Dieses Begehren blieb vor der Vorinstanz streitig, bis das Berufungsverfahren am 6. November 2019 als gegenstandslos abgeschrieben wurde. Somit ist der erforderliche Streitwert erreicht.</w:t>
      </w:r>
    </w:p>
    <w:p>
      <w:r>
        <w:rPr>
          <w:b/>
        </w:rPr>
        <w:t>E. 1.2</w:t>
      </w:r>
    </w:p>
    <w:p>
      <w:r>
        <w:t>Die übrigen Eintretensvoraussetzungen geben zu keinen Bemerkungen Anlass. Auf die Beschwerde ist - unter Vorbehalt gehöriger Begründung (vgl. E. 2 hiernach) - einzutreten. Folglich ist auf die subsidiäre Verfassungsbeschwerde nicht einzutreten ( Art. 113 BGG ).</w:t>
      </w:r>
    </w:p>
    <w:p>
      <w:r>
        <w:rPr>
          <w:b/>
        </w:rPr>
        <w:t>E. 2.1</w:t>
      </w:r>
    </w:p>
    <w:p>
      <w:r>
        <w:t>Mit Beschwerde in Zivilsachen können Rechtsverletzungen nach Art. 95 und 96 BGG gerügt werden. Die Beschwerde ist hinreichend zu begründen, andernfalls wird darauf nicht eingetreten ( BGE 134 II 244 E. 2.1 S. 245 f.).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S. 162 ; 132 I 42 E. 3.3.4 S. 47). Mit Rügen, welche die beschwerdeführende Partei bereits in der Beschwerde hätte erheben können, ist sie nach Ablauf der Beschwerdefrist ausgeschlossen ( BGE 135 I 19 E. 2.2 S. 21; 134 IV 156 E. 1.7 S. 162 ; 132 I 42 E. 3.3.4 S. 47 mit Hinweisen). Die Replik ist nur zu Darlegungen zu verwenden, zu denen die Ausführungen in der Vernehmlassung eines anderen Verfahrensbeteiligten Anlass geben (vgl. BGE 135 I 19 E. 2.2 S. 21).</w:t>
      </w:r>
    </w:p>
    <w:p>
      <w:r>
        <w:rPr>
          <w:b/>
        </w:rPr>
        <w:t>E. 3</w:t>
      </w:r>
    </w:p>
    <w:p>
      <w:r>
        <w:t>Der Beschwerdeführer beanstandet den Kostenentscheid der Vorinstanz. Er rügt eine Verletzung von Art. 107 ZPO .</w:t>
      </w:r>
    </w:p>
    <w:p>
      <w:r>
        <w:rPr>
          <w:b/>
        </w:rPr>
        <w:t>E. 3.1</w:t>
      </w:r>
    </w:p>
    <w:p>
      <w:r>
        <w:t>Das Gericht kann von den Verteilungsgrundsätzen nach Art. 106 ZPO abweichen und die Prozesskosten nach Ermessen verteilen, wenn das Verfahren als gegenstandslos abgeschrieben wird und das Gesetz nichts anderes vorsieht ( Art. 107 Abs. 1 lit. e ZPO ). Dabei ist etwa zu berücksichtigen, welche Partei Anlass zur Klage gegeben hat, welches der mutmassliche Prozessausgang gewesen wäre und bei welcher Partei die Gründe eingetreten sind, die dazu geführt haben, dass das Verfahren gegenstandslos wurde (Urteile 4A_667/2015 vom 22. Januar 2016 E. 2.2; 4A_346/2015 vom 16. Dezember 2015 E. 5; 5A_885/2014 vom 19. März 2015 E. 2.4). Das Bundesgericht überprüft Ermessensentscheide gemäss ständiger Praxis nur mit Zurückhaltung. Es ersetzt namentlich das Ermessen der Vorinstanz nicht durch sein eigenes, sondern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bzw. als in stossender Weise ungerecht erweisen ( BGE 141 III 97 E. 11.2 S. 98; 138 III 252 E. 2.1 S. 254; 136 III 278 E. 2.2.1. S. 279).</w:t>
      </w:r>
    </w:p>
    <w:p>
      <w:r>
        <w:rPr>
          <w:b/>
        </w:rPr>
        <w:t>E. 3.2</w:t>
      </w:r>
    </w:p>
    <w:p>
      <w:r>
        <w:t>Die Vorinstanz erwog, der Beschwerdeführer wäre mit seinen Rechtsbegehren im Berufungsverfahren mutmasslich nicht durchgedrungen. Auf den ersten Blick überzeugten die Erwägungen der Erstinstanz, wonach die Klage abzuweisen sei, weil der Beschwerdegegner nicht passivlegitimiert sei. Der Grundbucheintrag weise den Beschwerdegegner und dessen Eltern als Miteigentümer des Mietobjekts aus. Der Beschwerdeführer habe ausgesagt, er sei davon ausgegangen, der Beschwerdegegner und dessen Eltern seien seine Vermieter. Die Klagebewilligung führe ebenfalls den Beschwerdegegner und dessen Eltern als Vermieter auf. Zwar erscheine im Mietvertrag unter der Rubrik "Vermieter" nur der Name des Beschwerdegegners. Dieser habe aber nachvollziehbar ausgeführt, seine Eltern seien nur deshalb nicht unter dieser Rubrik geführt, weil dort bloss sein Name Platz gefunden habe.</w:t>
      </w:r>
    </w:p>
    <w:p>
      <w:r>
        <w:rPr>
          <w:b/>
        </w:rPr>
        <w:t>E. 3.3</w:t>
      </w:r>
    </w:p>
    <w:p>
      <w:r>
        <w:t>Die Vorinstanz hat damit auf die mutmasslichen Prozessaussichten abgestellt und so bei ihrem Kostenentscheid die zutreffenden Kriterien berücksichtigt, die bei einer Abschreibung des Verfahrens zufolge Gegenstandslosigkeit anzuwenden sind (vgl. E. 3.1 hiervor). Doch der Beschwerdeführer beanstandet zu Recht, dass die Vorinstanz bei der Beurteilung der Passivlegitimation auf den Grundbucheintrag abstellte. Damit übernahm die Vorinstanz den falschen Standpunkt der Erstinstanz, wonach die Miteigentümer ihre Liegenschaft nur gemeinsam vermieten könnten. Beide Vorinstanzen übersahen, dass der Abschluss eines Mietvertrags kein Eigentum an der Mietsache voraussetzt (Urteile 4A_212/2018 vom 22. Mai 2018 E. 2.2; 4A_35/2008 vom 13. Juni 2008 E. 2.3; 4C.245/1993 vom 19. April 1994 E. 5b). Allerdings scheint der Beschwerdeführer aus den Augen zu verlieren, dass die Vorinstanz nicht nur auf den Grundbuchauszug abstellte. Vielmehr würdigte sie auch die Aussage des Beschwerdeführers, er habe selbst angenommen, der Beschwerdegegner und dessen Eltern seien seine Vermieter. Zwar ist der Beschwerdeführer - wie seine Rechtsvertreterin bemerkt - kein Jurist, sondern Fahrradmechaniker, doch durfte die Vorinstanz seine Aussage dennoch berücksichtigen, ohne in Willkür zu verfallen. Die Vorinstanz verwies zudem auf die Klagebewilligung, welche den Beschwerdegegner und dessen Eltern als Vermieter aufführe. Es liegt auf der Hand, dass dieser Umstand für sich allein nicht den Schluss erlaubt, die Eltern des Beschwerdegegners seien auch Vermieter. Allerdings stellte die Klagebewilligung in der vorinstanzlichen Beurteilung nur einen von mehreren Punkten dar, weshalb nicht gesagt werden kann, die Vorinstanz hätte blindlings nur auf die Klagebewilligung abgestellt. Sodann setzte sich die Vorinstanz mit dem Mietvertrag auseinander, auf dem unter der Rubrik "Vermieter" nur der Name des Beschwerdegegners erscheint. Sie wies darauf hin, dass die Namen der Eltern des Beschwerdegegners nur deshalb auf der nächsten Zeile unter der Rubrik "vertreten durch" aufgeführt worden seien, weil das Vertragsformular unter der Rubrik "Vermieter" keinen Platz für drei Namen geboten habe. Zusätzlich nahm die Vorinstanz Bezug auf die Erwägungen der Erstinstanz. Diese hatte sich damit auseinandergesetzt, dass der Vertrag auf Vermieterseite nur vom Beschwerdegegner unterzeichnet worden war. Allerdings wies sie darauf hin, dass im amtlichen Kündigungsformular der Beschwerdegegner und dessen Eltern als "Vermieterschaft" aufgetreten waren. Zudem hatte die Erstinstanz auch das Schlichtungsgesuch des Beschwerdeführers gewürdigt. Der Beschwerdeführer scheint zu übersehen, dass das Bundesgericht in vorinstanzliche Ermessensentscheide nur eingreift, wenn diese als offensichtlich unbillig oder in stossender Weise ungerecht erscheinen. Dass dies hier der Fall wäre, zeigt der Beschwerdeführer nicht auf und ist auch nicht ersichtlich. Das Bundesgericht hat somit keinen hinreichenden Anlass, in den Ermessensentscheid der Vorinstanz einzugreifen. Schliesslich reichen die vorinstanzlichen Erwägungen aus, um die sich stellenden Rechtsfragen zu beantworten. Insbesondere berücksichtigte sie, entgegen den Ausführungen des Beschwerdeführers, dass der Mietvertrag nur vom Beschwerdegegner unterzeichnet wurde. Die Vorinstanz hat den Anspruch des Beschwerdeführers auf rechtliches Gehör nicht verletzt ( Art. 29 Abs. 2 BV , Art. 53 ZPO ).</w:t>
      </w:r>
    </w:p>
    <w:p>
      <w:r>
        <w:rPr>
          <w:b/>
        </w:rPr>
        <w:t>E. 4</w:t>
      </w:r>
    </w:p>
    <w:p>
      <w:r>
        <w:t>Nach dem Gesagten ist auf die subsidiäre Verfassungsbeschwerde nicht einzutreten.</w:t>
      </w:r>
    </w:p>
    <w:p>
      <w:r>
        <w:rPr>
          <w:b/>
        </w:rPr>
        <w:t>E. 5</w:t>
      </w:r>
    </w:p>
    <w:p>
      <w:r>
        <w:t>Die Beschwerde in Zivilsachen ist abzuweisen, soweit darauf einzutreten ist. Bei diesem Verfahrensausgang sind die Gerichtskosten dem Beschwerdeführer zu überbinden ( Art. 66 Abs. 1 BGG ). Er hat den Beschwerdegegner, der sich mit einer anwaltlich verfassten Beschwerdeantwort und Duplik vernehmen liess,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