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4A_33/2011 vom 21. März 2011</w:t>
      </w:r>
    </w:p>
    <w:p>
      <w:r>
        <w:t>Bundesgericht, 2011-03-21, FR</w:t>
      </w:r>
    </w:p>
    <w:p>
      <w:r>
        <w:rPr>
          <w:b/>
        </w:rPr>
        <w:t xml:space="preserve">Quelle: </w:t>
      </w:r>
      <w:r>
        <w:t>https://mcp.opencaselaw.ch/entscheid/bger_4A_33_2011</w:t>
      </w:r>
    </w:p>
    <w:p>
      <w:r>
        <w:t>FR: TF 4A_33/2011 du 21 mars 2011</w:t>
      </w:r>
    </w:p>
    <w:p>
      <w:r>
        <w:t>IT: TF 4A_33/2011 del 21 marzo 2011</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partiellement succombé dans ses conclusions condamnatoires et libératoires ( art. 76 al. 1 LTF ), le recours est en principe recevable puisqu'il a été déposé dans le délai ( art. 100 al. 1 LTF en liaison avec l' art. 46 al. 1 let . c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présente cause comporte un élément d'extranéité dans la mesure où le recourant a son domicile en France. Le Tribunal fédéral doit donc contrôler d'office la question du droit applicable au litige ( ATF 136 III 142 consid. 3.2 p. 144 et les arrêts cités). L'arrêt attaqué ne contient aucune considération à ce sujet. Les parties se réfèrent toutes deux au droit suisse dans leurs écritures et ce droit correspond à celui de l'Etat dans lequel le recourant a accompli son travail ( art. 121 al. 1 LDIP ). Il y a donc lieu d'appliquer le droit suisse au présent litige.</w:t>
      </w:r>
    </w:p>
    <w:p>
      <w:r>
        <w:rPr>
          <w:b/>
        </w:rPr>
        <w:t>E. 3</w:t>
      </w:r>
    </w:p>
    <w:p>
      <w:r>
        <w:t>Déterminer les motifs réels d'une résiliation est une question de fait ( ATF 136 III 513 consid. 2.3 p. 515; 131 III 535 consid. 4.3 p. 540; 130 III 699 consid. 4.1 p. 702).</w:t>
      </w:r>
    </w:p>
    <w:p>
      <w:r>
        <w:t>La cour cantonale a retenu que plusieurs des motifs avancés par l'employeur à l'appui du licenciement de l'employé sont bien réels. Il s'agit du manque dans le développement des gammes de chromatographie, du non-développement du secteur des ventes en chromatographie en Suisse allemande et de la disparition des serveurs de certaines informations et/ou répertoires. Parmi ces motifs ne figurent pas les revendications de l'employé s'agissant de l'octroi d'un "bonus/commission" et/ou d'une gratification. Pour la cour cantonale, dites revendications n'ont joué aucun rôle causal dans la décision de licencier l'employé (cf. jugement, p. 24 s.).</w:t>
      </w:r>
    </w:p>
    <w:p>
      <w:r>
        <w:t>Le recourant dénonce en lien avec chacun des trois motifs retenus, le grief d'arbitraire dans la constatation des faits. De son point de vue, les reproches formulés par l'employeur ne sont pas fondés et la cour cantonale ne pouvait pas, sans arbitraire, retenir leur existence comme établie.</w:t>
      </w:r>
    </w:p>
    <w:p>
      <w:r>
        <w:t>Pour le surplus, le recourant indique expressément s'en rapporter aux faits tels qu'établis par l'autorité cantonale.</w:t>
      </w:r>
    </w:p>
    <w:p>
      <w:r>
        <w:rPr>
          <w:b/>
        </w:rPr>
        <w:t>E. 4</w:t>
      </w:r>
    </w:p>
    <w:p>
      <w:r>
        <w:t>Il n'est pas contesté que le recourant, initialement chargé de visiter la clientèle de la Suisse romande, plus spécialement d'assurer le conseil technique et la promotion des ventes des produits de la gamme chromatographie, s'est vu par la suite confier la tâche de "Business Development Manager". En cette qualité, définie par avenant du 18 avril 2007, l'employé ne devait plus seulement s'occuper de la vente du secteur de la chromatographie pour la Suisse romande, mais pour tout le pays; il était aussi chargé de développer la gamme de produits de ce secteur.</w:t>
      </w:r>
    </w:p>
    <w:p>
      <w:r>
        <w:rPr>
          <w:b/>
        </w:rPr>
        <w:t>E. 4.1</w:t>
      </w:r>
    </w:p>
    <w:p>
      <w:r>
        <w:t>Il a été retenu que les termes "développement de la gamme de produits" figurant dans l'avenant, supposent, entre autres, la recherche de nouveaux fournisseurs et leur portée n'a pas pu échapper à l'employé, déjà actif depuis plus de trois ans dans l'entreprise. Cette interprétation est contestée par l'employé, qui prétend qu'il n'avait pas comme nouvel objectif de trouver des partenariats avec de nouveaux fournisseurs potentiels.</w:t>
      </w:r>
    </w:p>
    <w:p>
      <w:r>
        <w:t>A supposer que l'autorité cantonale soit parvenue à déterminer la commune et réelle intention des parties - ce qui ne ressort pas clairement du jugement entrepris -, le recourant ne prétend pas et encore moins ne démontre que cette constatation aurait été établie de manière arbitraire. Le grief est donc irrecevable. Il l'est tout autant si la question a été tranchée sous l'angle du principe de la confiance, dès lors que le recourant n'expose pas en quoi sur ce point l'acte attaqué viole le droit. Il va donc sans dire que le moyen ne répond nullement aux exigences de motivation de l' art. 42 al. 2 LTF .</w:t>
      </w:r>
    </w:p>
    <w:p>
      <w:r>
        <w:t>En opposition avec le premier argument soulevé (absence d'objectif consistant à accroître le nombre de fournisseurs), le recourant affirme néanmoins avoir développé les gammes de chromatographie. Pour arriver à cette conclusion, il reproduit partiellement les dépositions des témoins A.________, B.________ et C.________, ainsi que le contenu d'un courriel adressé le 18 avril 2008 à D.________. Cette manière de faire ne permet bien évidemment pas de démontrer l'arbitraire dans la constatation des faits ( art. 42 al. 2 LTF ). Au demeurant, les éléments avancés par le recourant ne sont pas propres à faire apparaître l'appréciation des preuves faite par la cour cantonale comme insoutenable.</w:t>
      </w:r>
    </w:p>
    <w:p>
      <w:r>
        <w:t>Le recourant invoque le témoignage de A.________. Si le témoin en question cite les sociétés N.________, O.________ et P.________, comme nouveaux fournisseurs apportés après avril 2007, en ajoutant que "en tout, environ sept ou dix nouveaux fournisseurs ont été amenés", il indique plus loin ne pas être certain de savoir si ces sociétés ont été apportées avant ou après la promotion de l'employé. Le même témoin, entendu une nouvelle fois devant l'instance de recours cantonale, a désigné les sociétés O.________ et P.________ comme nouveaux fournisseurs, apparus chez Y.________ SA depuis la promotion d'avril 2007. Or, il a été retenu, sans que le recourant n'y revienne, que le volume d'affaires traitées avec les sociétés en question était tout à fait négligeable. La déclaration de A.________, qui ne constitue du reste qu'un élément de preuve parmi d'autres appréciés par la cour, n'a par conséquent pas la portée que le recourant tente de lui attribuer.</w:t>
      </w:r>
    </w:p>
    <w:p>
      <w:r>
        <w:t>Le recourant se fonde également sur le témoignage de B.________, directeur commercial chez N.________, qui a indiqué avoir évoqué avec X.________ les nouvelles gammes de produits de la société lors de l'exposition ..., en .... Une telle évocation ne participe pas d'un travail de développement de la gamme de chromatographie, ce d'autant qu'elle se heurte à d'autres éléments de preuve concordants, comme le témoignage de D.________, E.________ et F.________, dûment cités par les juges cantonaux et passés sous silence par le recourant. On relèvera encore que le recourant ne conteste pas ne pas avoir voulu se rendre aux Etats-Unis en mars 2008 pour participer à une exposition, ce qui pouvait contribuer à le mettre en contact avec d'éventuels nouveaux fournisseurs.</w:t>
      </w:r>
    </w:p>
    <w:p>
      <w:r>
        <w:t>Comme indiqué, le recourant ne remet pas en cause le témoignage de E.________. Or, selon cette dernière, la société Q.________ a été approchée par elle-même lors de l'exposition ... et non pas par X.________. Cela étant, il n'y a pas lieu de mettre à l'actif de ce dernier les contacts noués avec dite société et l'argumentation développée par le recourant en lien avec cette société, référence faite au courriel du 18 avril 2008, est vaine.</w:t>
      </w:r>
    </w:p>
    <w:p>
      <w:r>
        <w:t>Enfin, le témoignage de C.________ n'est d'aucun secours au recourant, puisqu'il fait état de clients fructueux, en citant les sociétés R.________ et S.________, et non pas de fournisseurs dont il est pourtant ici question.</w:t>
      </w:r>
    </w:p>
    <w:p>
      <w:r>
        <w:t>En conclusion, la cour cantonale ne s'est pas livrée à une appréciation arbitraire des preuves en retenant que le recourant n'a pas cherché à développer les gammes de chromatographie, contrairement à ce qui était prévu dans l'avenant du 18 avril 2007.</w:t>
      </w:r>
    </w:p>
    <w:p>
      <w:r>
        <w:rPr>
          <w:b/>
        </w:rPr>
        <w:t>E. 4.2</w:t>
      </w:r>
    </w:p>
    <w:p>
      <w:r>
        <w:t>La validité de la clause de prohibition de faire concurrence n'est pas remise en cause par le recourant ( art. 340 et 340a CO ), de même que le montant de la pénalité retenue par les magistrats cantonaux. Le recourant prétend toutefois que la prohibition a cessé du fait que le contrat a été résilié par l'employeur sans que l'employé lui ait donné un motif justifié au sens de l' art. 340c al. 2 CO . Il dénonce à cet égard une violation du droit fédéral.</w:t>
      </w:r>
    </w:p>
    <w:p>
      <w:r>
        <w:t>Une clause de prohibition de faire concurrence valablement conclue devient caduque lorsque l'employeur congédie le travailleur sans que celui-ci ait donné un motif valable pour ce licenciement, ou lorsque le travailleur a résilié le contrat pour un motif justifié imputable à l'employeur ( art. 340c al. 2 CO ). Il ne faut toutefois pas confondre ce motif justifié avec le juste motif donnant lieu à un licenciement avec effet immédiat selon l' art. 337 CO . Ne sont des motifs justifiés au sens de l' art. 340c al. 2 CO que les événements qui ont été causés par la partie adverse, ou à tout le moins dont elle doit répondre. Est considéré comme un motif justifié au sens de l' art. 340c al. 2 CO tout événement imputable à l'autre partie qui, selon des considérations commerciales raisonnables, peut donner une raison suffisante pour un licenciement. Il n'est pas nécessaire qu'il s'agisse d'une violation contractuelle en tant que telle ( ATF 130 III 353 consid. 2.2.1 p. 359 s. et les références citées).</w:t>
      </w:r>
    </w:p>
    <w:p>
      <w:r>
        <w:t>Il convient de déterminer si le motif retenu ci-dessus (cf. supra, consid. 4.1 in fine) peut être considéré comme un motif justifié au sens de la disposition précitée. Si tel devait être le cas, il n'y a pas lieu d'entrer en matière sur les critiques se rapportant aux autres motifs retenus à l'appui du licenciement, à savoir un manque dans le développement des ventes en chromatographie en Suisse allemande et la disparition des serveurs informatiques de certaines informations et/ou répertoires.</w:t>
      </w:r>
    </w:p>
    <w:p>
      <w:r>
        <w:t>En ne contribuant pas au développement de la gamme de chromatographie tel que convenu par avenant du 18 avril 2007, le recourant n'a pas rempli, de manière contraire à ses engagements contractuels, sa fonction de "Business Development Manager". En cela, la condition du motif justifié est réalisée (cf. ATF 130 III consid. 2.2.1 p. 359). On notera encore qu'il ressort des faits de la cause - sans que l'arbitraire ne soit invoqué - que l'employé avait déjà le projet de s'engager au service d'une concurrente et qu'il préparait la suite de ses activités avant la fin des rapports de travail avec l'intimée. Or, un tel comportement, évoqué par l'employeur pour dénoncer la violation par l'employé de son devoir de confidentialité, justifie en soi le licenciement ( ATF 130 III 353 consid. 2.2.3 p. 361).</w:t>
      </w:r>
    </w:p>
    <w:p>
      <w:r>
        <w:t>Partant, c'est sans violer le droit fédéral que la cour cantonale a admis que le congé ordinaire donné le 21 avril 2008 pour le 30 juin 2008 était justifié et que la clause de prohibition de faire concurrence pouvait déployer ses effets.</w:t>
      </w:r>
    </w:p>
    <w:p>
      <w:r>
        <w:rPr>
          <w:b/>
        </w:rPr>
        <w:t>E. 5</w:t>
      </w:r>
    </w:p>
    <w:p>
      <w:r>
        <w:t>Le recourant soutient avoir été victime d'un congé-représailles au sens de l' art. 336 al. 1 let . d CO, parce que la résiliation a été donnée pour le motif qu'il faisait valoir de bonne foi des prétentions résultant du contrat de travail.</w:t>
      </w:r>
    </w:p>
    <w:p>
      <w:r>
        <w:t>Il a été constaté en fait - de manière à lier le Tribunal fédéral ( art. 105 al. 1 LTF ) - que le recourant a été licencié du fait qu'il ne remplissait pas intégralement ses obligations contractuelles. Il a été jugé que ce motif, évoqué parmi d'autres motifs, justifiait le licenciement ordinaire notifié au recourant. Le congé litigieux ne saurait être qualifié de congé-représailles puisque l'employeur - ainsi que cela ressort de l'état de fait - n'entendait nullement, en licenciant l'employé, le sanctionner pour des revendications formulées en lien avec le contrat de travail. Les demandes de l'employé n'ayant joué aucun rôle causal dans le licenciement, c'est à bon droit que la cour cantonale a rejeté les prétentions du recourant en paiement d'une indemnité pour licenciement abusif (cf. ATF 136 III 513 consid. 2.6 p. 517 s.). Le grief est infondé.</w:t>
      </w:r>
    </w:p>
    <w:p>
      <w:r>
        <w:rPr>
          <w:b/>
        </w:rPr>
        <w:t>E. 6</w:t>
      </w:r>
    </w:p>
    <w:p>
      <w:r>
        <w:t>Le recourant se plaint encore d'une violation de l' art. 322a CO . Il reproche à l'autorité cantonale de ne pas lui avoir accordé le montant réclamé à titre de commission/bonus 2008, lequel montant devait être déterminé ex aequo et bono.</w:t>
      </w:r>
    </w:p>
    <w:p>
      <w:r>
        <w:t>Aux termes de l' art. 322a al. 1 CO ,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L'alinéa 2 de cette disposition fait obligation à l'employeur de fournir les renseignements nécessaires au travailleur ou à un expert désigné en commun par les parties ou par le juge; il fait également obligation à l'employeur d'autoriser le travailleur à consulter les livres de comptabilité dans la mesure nécessaire. Si une participation aux bénéfices de l'entreprise est convenue, l' art. 322 al. 3 CO oblige l'employeur à remettre une copie du compte de profits et pertes de l'exercice annuel au travailleur qui le demande.</w:t>
      </w:r>
    </w:p>
    <w:p>
      <w:r>
        <w:t>Il n'est pas contesté qu'au salaire annuel fixe prévu s'ajoutait un "bonus/commission", arrêté à 15% de la part dépassant la marge budgétée. Il est de même admis que le budget des ventes devait être déterminé chaque année et être "avalisé par les acteurs"; en cas de rupture du contrat, un décompte devait être arrêté au jour de cette rupture, établi le mois suivant et payé au plus tard dans les 30 jours suivant le paiement du décompte de salaire.</w:t>
      </w:r>
    </w:p>
    <w:p>
      <w:r>
        <w:t>Pour l'année 2008 - contrairement à l'année 2007 -, le recourant n'a pas participé à l'élaboration du budget. En outre, aucun décompte destiné au calcul du bonus/commission n'a été produit par l'employeur au terme du contrat. Il importe peu en définitive. L'autorité cantonale ne s'est pas fondée sur le budget établi unilatéralement par l'intimée pour dire que les résultats du trimestre concerné n'avaient pas atteint les objectifs fixés. Il a en effet été constaté, sans que le recourant n'y revienne, qu'en 2008, l'intimée a non seulement perdu la représentation des produits xxx et yyy, mais qu'elle a également perdu le client T.________, qui représentait à lui seul le tiers du chiffre d'affaires de la chromatographie; il a de surcroît été retenu que les derniers temps de son activité auprès de l'intimée le recourant ne déployait plus une activité très intense. Dans ces circonstances, il ne fait nul doute que les résultats projetés, quels qu'ils soient, n'ont pas pu être raisonnablement réalisés et que, partant, l'octroi d'un bonus/commission n'était pas justifié pour le premier trimestre 2008 - comme retenu par les juges cantonaux. Le recourant ne remet par ailleurs pas en cause la décision des juges cantonaux, qui relève de l'administration des preuves, de ne pas ordonner une expertise pour suppléer à l'absence de décompte fourni par l'employeur. Il n'y a donc pas lieu d'y revenir.</w:t>
      </w:r>
    </w:p>
    <w:p>
      <w:r>
        <w:t>On ne discerne aucune violation de l' art. 322a CO .</w:t>
      </w:r>
    </w:p>
    <w:p>
      <w:r>
        <w:rPr>
          <w:b/>
        </w:rPr>
        <w:t>E. 7</w:t>
      </w:r>
    </w:p>
    <w:p>
      <w:r>
        <w:t>En conclusion, le recours est rejeté dans la mesure de sa recevabilité. Sur le vu de ce résultat, la requête d'effet suspensif devient sans objet.</w:t>
      </w:r>
    </w:p>
    <w:p>
      <w:r>
        <w:rPr>
          <w:b/>
        </w:rPr>
        <w:t>E. 8</w:t>
      </w:r>
    </w:p>
    <w:p>
      <w:r>
        <w:t>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