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4A_339/2013 vom 8. Oktober 2013</w:t>
      </w:r>
    </w:p>
    <w:p>
      <w:r>
        <w:t>Bundesgericht, 2013-10-08, DE</w:t>
      </w:r>
    </w:p>
    <w:p>
      <w:r>
        <w:rPr>
          <w:b/>
        </w:rPr>
        <w:t xml:space="preserve">Quelle: </w:t>
      </w:r>
      <w:r>
        <w:t>https://mcp.opencaselaw.ch/entscheid/bger_4A_339_2013</w:t>
      </w:r>
    </w:p>
    <w:p>
      <w:r>
        <w:t>FR: TF 4A_339/2013 du 8 octobre 2013</w:t>
      </w:r>
    </w:p>
    <w:p>
      <w:r>
        <w:t>IT: TF 4A_339/2013 del 8 ottobre 2013</w:t>
      </w:r>
    </w:p>
    <w:p>
      <w:pPr>
        <w:pStyle w:val="Heading2"/>
      </w:pPr>
      <w:r>
        <w:t>Erwägungen</w:t>
      </w:r>
    </w:p>
    <w:p>
      <w:r>
        <w:rPr>
          <w:b/>
        </w:rPr>
        <w:t>E. 1</w:t>
      </w:r>
    </w:p>
    <w:p>
      <w:r>
        <w:t>Das Bundesgericht prüft von Amtes wegen und mit freier Kognition, ob ein Rechtsmittel zulässig ist ( BGE 138 III 41 E. 1; 135 III 212 E. 1).</w:t>
      </w:r>
    </w:p>
    <w:p>
      <w:r>
        <w:rPr>
          <w:b/>
        </w:rPr>
        <w:t>E. 2</w:t>
      </w:r>
    </w:p>
    <w:p>
      <w:r>
        <w:t>Angefochten ist ein Zwischenentscheid des Kantonsgerichts, mit dem die Anordnung eines zweiten Schriftenwechsels für das Berufungsverfahren verweigert wurde.</w:t>
      </w:r>
    </w:p>
    <w:p>
      <w:r>
        <w:t>Ist wie vorliegend ein oberes Gericht mit einem Rechtsmittelverfahren befasst und fällt es in diesem Rahmen einen Zwischenentscheid, so steht die Beschwerde an das Bundesgericht unter dem Gesichtspunkt der Letztinstanzlichkeit im Sinne von Art. 75 BGG offen ( BGE 138 III 41 E. 1.1 S. 43; 137 III 424 E. 2.2).</w:t>
      </w:r>
    </w:p>
    <w:p>
      <w:r>
        <w:t>Gegen selbständig eröffnete Vor- und Zwischenentscheide ist die Beschwerde gemäss Art. 93 BGG - von der hier ausser Betracht fallenden alternativen Voraussetzung nach Abs. 1 lit. b abgesehen - nur zulässig, wenn sie einen nicht wieder gutzumachenden Nachteil bewirken können (Abs. 1 lit. a). Dabei muss es sich um einen Nachteil rechtlicher Natur handeln, der auch durch einen für den Beschwerdeführer günstigen Entscheid in der Zukunft nicht mehr behoben werden kann ( BGE 137 III 324 E. 1.1 S. 328 ; 134 I 83 E. 3.1 S. 87 mit weiteren Hinweisen). Rein tatsächliche Nachteile wie die Verfahrensverlängerung oder -verteuerung reichen nicht aus ( BGE 137 III 380 E. 1.2.1; 136 II 165 E. 1.2.1 S. 170). Der Beschwerdeführer hat im Einzelnen darzulegen, inwiefern die Voraussetzungen nach Art. 93 BGG erfüllt sind, ansonsten auf die Beschwerde mangels hinreichender Begründung nicht eingetreten wird (vgl. BGE 136 IV 92 E. 4; 134 III 426 E. 1.2 S. 429).</w:t>
      </w:r>
    </w:p>
    <w:p>
      <w:r>
        <w:t>Nach der bundesgerichtlichen Rechtsprechung bewirken Anordnungen betreffend die Beweisführung in aller Regel keinen nicht wieder gutzumachenden Nachteil, da es normalerweise möglich ist, mit einer Anfechtung des Endentscheids die zu Unrecht verweigerte Beweiserhebung zu erreichen (Urteile 5A_315/2012 vom 28. August 2012 E. 1.2.1; 4A_269/2011 vom 10. November 2011 E. 1.3; 4A_195/2010 vom 8. Juni 2010 E. 1.1.1). Entsprechendes gilt für prozessleitende Verfügungen im Rahmen des Schriftenwechsels, kann doch eine allfällige Verletzung des rechtlichen Gehörs durch Anfechtung des Endentscheids behoben werden (Urteil 2C_599/2007 vom 5. Dezember 2007 E. 2.2; vgl. auch Urteil 5D_72/2009 vom 9. Juli 2009 E. 1.2). Demnach ist mit der Ablehnung eines zweiten Schriftenwechsels kein nicht wieder gutzumachender Nachteil rechtlicher Natur verbunden.</w:t>
      </w:r>
    </w:p>
    <w:p>
      <w:r>
        <w:t>Gründe der Verfahrensökonomie, die dafür sprechen könnten, eine allfällige Verletzung des Gehörsanspruchs der Beschwerdeführerin durch Verweigerung des Replikrechts (vgl. dazu BGE 138 I 484 ) bereits im jetzigen Verfahrensstadium noch vor Ergehen des Endentscheids zu korrigieren, genügen für die Begründung eines Nachteils im Sinne von Art. 93 Abs. 1 lit. a BGG nicht. Ohnehin steht nach der angefochtenen Verfügung des Vorsitzenden, der bloss informativ festhält, eine mündliche Verhandlung sei nicht vorgesehen, noch nicht fest, dass das Kantonsgericht den Fall nicht doch an einer mündlichen Verhandlung beurteilen wird, anlässlich derer die Beschwerdeführerin replizieren könnte (vgl. Art. 316 ZPO ).</w:t>
      </w:r>
    </w:p>
    <w:p>
      <w:r>
        <w:t>Die Voraussetzung für die Anfechtung eines Zwischenentscheids nach Art. 93 Abs. 1 lit. a BGG ist nicht erfüllt. Die Beschwerde erweist sich demnach als unzulässig, und es ist nicht auf sie einzutreten.</w:t>
      </w:r>
    </w:p>
    <w:p>
      <w:r>
        <w:rPr>
          <w:b/>
        </w:rPr>
        <w:t>E. 3</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