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339/2011 vom 23. November 2011</w:t>
      </w:r>
    </w:p>
    <w:p>
      <w:r>
        <w:t>Bundesgericht, 2011-11-23, DE</w:t>
      </w:r>
    </w:p>
    <w:p>
      <w:r>
        <w:rPr>
          <w:b/>
        </w:rPr>
        <w:t xml:space="preserve">Quelle: </w:t>
      </w:r>
      <w:r>
        <w:t>https://mcp.opencaselaw.ch/entscheid/bger_4A_339_2011</w:t>
      </w:r>
    </w:p>
    <w:p>
      <w:r>
        <w:t>FR: TF 4A 339/2011 du 23 novembre 2011</w:t>
      </w:r>
    </w:p>
    <w:p>
      <w:r>
        <w:t>IT: TF 4A 339/2011 del 23 novembre 2011</w:t>
      </w:r>
    </w:p>
    <w:p>
      <w:pPr>
        <w:pStyle w:val="Heading2"/>
      </w:pPr>
      <w:r>
        <w:t>Regeste</w:t>
      </w:r>
    </w:p>
    <w:p>
      <w:r>
        <w:t>Darlehensvertrag | Vertragsrecht</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richtet sich gegen einen Endentscheid ( Art. 90 BGG )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BGG ).</w:t>
      </w:r>
    </w:p>
    <w:p>
      <w:r>
        <w:rPr>
          <w:b/>
        </w:rPr>
        <w:t>E. 1.2</w:t>
      </w:r>
    </w:p>
    <w:p>
      <w:r>
        <w:t>Das angefochtene Urteil des Obergerichts ist nur insofern der Beschwerde zugänglich, als es das Erfordernis der Letztinstanzlichkeit erfüllt, mithin für die gegen dieses erhobenen Rügen kein kantonales Rechtsmittel mehr offen stand ( Art. 75 Abs. 1 BGG ; BGE 134 III 524 E. 1.3 S. 527). Gemäss §§ 281 ff. aZPO/ZH konnte gegen Urteile des Obergerichts kantonale Nichtigkeitsbeschwerde an das Kassationsgericht des Kantons Zürich erhoben werden. Nach Art. 405 Abs. 1 der seit dem 1. Januar 2011 geltenden Schweizerischen Zivilprozessordnung vom 19. Dezember 2008 (ZPO; SR 272) gilt für die Rechtsmittel das Recht, das bei der Eröffnung des Entscheides in Kraft ist. Das angefochtene Urteil des Obergerichts wurde nach Inkrafttreten der ZPO eröffnet, womit für das Rechtsmittelverfahren das neue Recht gilt ( BGE 137 III 127 E. 2 S. 130). Dieses sieht gegen zweitinstanzliche Entscheide kein innerkantonales Rechtsmittel mehr vor ( Art. 308 Abs. 1 und Art. 319 ZPO e contrario). Damit erweist sich der angefochtene Entscheid hinsichtlich sämtlicher im Rahmen der Beschwerde in Zivilsachen zulässigen Rügen als letztinstanzlich.</w:t>
      </w:r>
    </w:p>
    <w:p>
      <w:r>
        <w:rPr>
          <w:b/>
        </w:rPr>
        <w:t>E. 1.3</w:t>
      </w:r>
    </w:p>
    <w:p>
      <w:r>
        <w:t>Die Beschwerde hat ein Rechtsbegehren zu enthalten ( Art. 42 Abs. 1 BGG ). Da die Beschwerde an das Bundesgericht ein reformatorisches Rechtsmittel ist (Art. 117 i.V.m. Art. 107 Abs. 2 BGG ), ist ein materieller Antrag erforderlich. Ausnahmsweise genügt ein blosser Aufhebungsantrag, wenn das Bundesgericht im Falle der Gutheissung in der Sache nicht selbst entscheiden könnte. Dies ist regelmässig der Fall, wenn die beschwerdeführende Partei - wie hier - hauptsächlich die Verletzung des rechtlichen Gehörs (Urteile 5A_359/2009 vom 4. August 2009 E. 1; 8C_241/2007 vom 9. Juni 2008 E. 1.3.2) bzw. eine willkürliche Anwendung kantonalen Zivilprozessrechts rügt (Urteile 4A_431/2009 vom 18. November 2009 E. 2.7; 4A_338/2007 vom 22. November 2007 E. 1.3). Der vorliegend gestellte Aufhebungsantrag erweist sich damit als zulässig.</w:t>
      </w:r>
    </w:p>
    <w:p>
      <w:r>
        <w:rPr>
          <w:b/>
        </w:rPr>
        <w:t>E. 1.4</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 Auf das Verfahren vor der Vorinstanz fand gemäss Art. 404 Abs. 1 ZPO noch die nunmehr aufgehobene Zivilprozessordnung des Kantons Zürich Anwendung. Soweit der Beschwerdeführer die Verletzung von Normen des kantonalen Zivilprozessrechts rügen will, hat er mithin darzutun, dass dabei gleichzeitig ein Verstoss gegen Bundes- bzw. Bundesverfassungsrecht vorliegt. Der Beschwerdeführer legt zwar zutreffend dar, dass ihm aufgrund des Wegfalls der kantonalen Nichtigkeitsbeschwerde die Möglichkeit fehlt, den angefochtenen Entscheid mit voller Kognition auf Verletzungen von "wesentlichen Verfahrensgrundsätzen" der alten Zürcher Zivilprozessordnung (§ 281 Ziff. 1 aZPO/ZH) hin überprüfen zu lassen. Entgegen seiner Auffassung kann diese Situation jedoch keineswegs zu einer wie auch immer gearteten übergangsrechtlichen Erweiterung der Beschwerdegründe gemäss Art. 95 BGG führen, sondern ist als Konsequenz der insoweit klaren Übergangsbestimmung von Art. 405 ZPO hinzunehmen, die - anders als noch der Vorentwurf der Expertenkommission vom Juni 2003 (Art. 391) - ausdrücklich vorsieht, dass für die Rechtsmittel das bei Eröffnung des Entscheids geltende Recht gilt.</w:t>
      </w:r>
    </w:p>
    <w:p>
      <w:r>
        <w:rPr>
          <w:b/>
        </w:rPr>
        <w:t>E. 1.5</w:t>
      </w:r>
    </w:p>
    <w:p>
      <w:r>
        <w:t>Das Bundesgericht wendet das Recht zwar von Amtes wegen an ( Art. 106 Abs. 1 BGG ; vgl. dazu BGE 132 II 257 E. 2.5 S. 262; 130 III 136 E. 1.4 S. 140). Es prüft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weiterhin gültig ( BGE 133 II 249 E. 1.4.2). Dies gilt insbesondere für das Willkürverbot gemäss Art. 9 BV . 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1.6</w:t>
      </w:r>
    </w:p>
    <w:p>
      <w:r>
        <w:t>Der Beschwerdeführer verkennt diese Grundsätze: Er wirft der Vorinstanz vor, diese habe in willkürlicher Weise gegen die richterliche Fragepflicht gemäss § 55 aZPO/ZH verstossen, indem sie es unterlassen habe, den in erster und zweiter Instanz nicht anwaltlich vertretenen Beschwerdeführer auf die ungenügende Substanziierung seiner Einwendungen und Einreden hinzuweisen. Dabei legt der Beschwerdeführer in seiner Eingabe an das Bundesgericht zunächst unter Hinweis auf Lehre und kantonale Rechtsprechung zu § 55 aZPO/ZH die Tatbestandsvoraussetzungen und Rechtsfolgen der richterlichen Fragepflicht gemäss Zürcher Recht dar. Anschliessend versucht er anhand seiner Vorbringen in den kantonalen Verfahren aufzuzeigen, dass die entsprechenden Tatbestandselemente erfüllt und somit sowohl das Bezirksgericht als auch die Vorinstanz verpflichtet gewesen wären, den Beschwerdeführer auf die ungenügende Substanziierung seiner Vorbringen hinzuweisen. Obwohl er dabei vorgibt, eine willkürliche Anwendung des kantonalen Zivilprozessrechts rügen zu wollen, lässt sich seinen Ausführungen jedoch nicht entnehmen, inwiefern die Vorinstanz § 55 aZPO/ZH nicht nur falsch, sondern geradezu unhaltbar, also willkürlich angewendet haben soll. Der Beschwerdeführer präsentiert seine subtilen Erörterungen vielmehr in einer Weise, als ob das Bundesgericht die Anwendung von § 55 aZPO/ZH mit freier Kognition überprüfen könnte, und verkennt dabei offensichtlich sowohl die Tragweite der Rügegründe gemäss Art. 95 BGG als auch die strengen Begründungsanforderungen an Willkürrügen gemäss Art. 106 Abs. 2 BGG . Letzteren vermag seine Beschwerdeschrift nicht zu genügen. Auf die Rüge, die Vorinstanz habe § 55 aZPO/ZH willkürlich angewendet, ist mangels hinreichender Begründung nicht einzutreten.</w:t>
      </w:r>
    </w:p>
    <w:p>
      <w:r>
        <w:rPr>
          <w:b/>
        </w:rPr>
        <w:t>E. 1.7</w:t>
      </w:r>
    </w:p>
    <w:p>
      <w:r>
        <w:t>Schliesslich macht der Beschwerdeführer geltend, die Vorinstanz habe mit der Verletzung von § 55 aZPO/ZH gleichzeitig seinen Anspruch auf rechtliches Gehör gemäss Art. 29 Abs. 2 BV verletzt. Diese Rüge ist unbeachtlich, geht doch die Gehörsrüge gemäss bundesgerichtlicher Rechtsprechung in der Rüge der willkürlichen Anwendung der Fragepflicht auf und hat neben dieser keine selbständige Bedeutung (vgl. den Leitentscheid BGE 113 Ia 433 E. 1 S. 435; zuletzt bestätigt in Urteil 5A_792/2010 vom 24. März 2011 E. 3).</w:t>
      </w:r>
    </w:p>
    <w:p>
      <w:r>
        <w:rPr>
          <w:b/>
        </w:rPr>
        <w:t>E. 2</w:t>
      </w:r>
    </w:p>
    <w:p>
      <w:r>
        <w:t>Auf die Beschwerde ist nicht einzutreten.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