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4A_338/2024 vom 23. Juli 2024</w:t>
      </w:r>
    </w:p>
    <w:p>
      <w:r>
        <w:t>Bundesgericht, 2024-07-23, DE</w:t>
      </w:r>
    </w:p>
    <w:p>
      <w:r>
        <w:rPr>
          <w:b/>
        </w:rPr>
        <w:t xml:space="preserve">Quelle: </w:t>
      </w:r>
      <w:r>
        <w:t>https://mcp.opencaselaw.ch/entscheid/bger_4A_338_2024</w:t>
      </w:r>
    </w:p>
    <w:p>
      <w:r>
        <w:t>FR: TF 4A_338/2024 du 23 juillet 2024</w:t>
      </w:r>
    </w:p>
    <w:p>
      <w:r>
        <w:t>IT: TF 4A_338/2024 del 23 luglio 2024</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an das Bundesgericht ist nur gegen Entscheide letzter kantonaler Instanzen zulässig ( Art. 75 Abs. 1, Art. 114 BGG ). Auf die Beschwerde ist daher von vornherein nicht einzutreten, soweit sie sich direkt gegen den Entscheid des Arbeitsgerichts vom 14. Juli 2023 richtet, da es sich dabei nicht um einen letztinstanzlichen Entscheid im Sinne von Art. 75 Abs. 1 BGG handelt.</w:t>
      </w:r>
    </w:p>
    <w:p>
      <w:r>
        <w:rPr>
          <w:b/>
        </w:rPr>
        <w:t>E. 1.2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w:t>
      </w:r>
    </w:p>
    <w:p>
      <w:r>
        <w:t>Die Vorinstanz erwog vorab, dass der Beschwerdeführer diverse Noven eingereicht habe, die unbeachtlich zu bleiben hätten. Nicht einzutreten sei auf die wortwörtlich wiederholten Vorbringen, die keine Auseinandersetzung mit den erstinstanzlichen Erwägungen darstellt. Nicht näher einzugehen sei gemäss Vorinstanz auf die Ausführungen des Beschwerdeführers zu den Übereinkommen Nr. 95 und Nr. 158 der Internationalen Arbeitsorganisation, da die Schweiz diese nicht ratifiziert habe. Zum Beweisverfahren erwog die Vorinstanz, dass die Parteibefragung von C.________ rechtmässig gewesen sei und der Beschwerdeführer nicht konkret begründen könne, welche Beweise zu welchen Tatsachen die Erstinstanz hätte abnehmen müssen. In der Sache erwog die Vorinstanz hinsichtlich einer Entschädigung wegen missbräuchlicher Kündigung, dass dem Beschwerdeführer der Beweis eines verpönten Kündigungsgrunds misslinge; der Beschwerdeführer lege einerseits keine stichhaltigen Beweise vor, die einen Zusammenhang zwischen der Kündigung und der Herkunft bzw. Nationalität des Beschwerdeführers herstellen würden, womit kein missbräuchlicher Kündigungsgrund nach Art. 336 Abs. 1 lit. a OR vorliege. Er vermöge des Weiteren auch nicht nachzuweisen, dass seine Forderung nach diskriminierungsfreiem Lohn zur Kündigung geführt habe, weshalb kein missbräuchlicher Kündigungsgrund nach Art. 336 Abs. 1 lit. b und d OR vorliege. Andererseits gelinge es dem Beschwerdeführer auch nicht nachzuweisen, dass ihm auf einen bestimmten Zeitpunkt hin eine weitere Lohnerhöhung zugesichert worden sei oder ihm eine Prämie von 50 % des Grundgehalts versprochen worden sei, weshalb es in Bezug auf die Lohnhöhe und den Bonus keinen Anspruch gegeben habe, der durch Kündigung hätte vereitelt werden können; der Kündigungsgrund gemäss Art. 336 Abs. 1 lit. c OR bleibe ebenfalls unbewiesen. Gemäss der Vorinstanz bestehe auch kein Anspruch auf Abänderung des Arbeitszeugnisses. Die vom Beschwerdeführer aufgelisteten und im Zeugnis nicht berücksichtigten Projekte hätten sich im Anfangsstadium befunden, weshalb überzeugend und nachvollziehbar sei, dass aufgrund ungenügender Kommunikation seitens des Beschwerdeführers die Ausführung, die Qualität und der Status dieser Projekte nicht hätte ermittelt werden können.</w:t>
      </w:r>
    </w:p>
    <w:p>
      <w:r>
        <w:rPr>
          <w:b/>
        </w:rPr>
        <w:t>E. 3</w:t>
      </w:r>
    </w:p>
    <w:p>
      <w:r>
        <w:t>Die Begründung des Beschwerdeführers genügt den Anforderungen an eine hinreichende Beschwerde vor dem Bundesgericht offensichtlich nicht; er verkennt durchgehend, dass das Bundesgericht keine Appellationsinstanz ist, die sämtliche Rechtsfragen und den Sachverhalt frei überprüft.</w:t>
      </w:r>
    </w:p>
    <w:p>
      <w:r>
        <w:rPr>
          <w:b/>
        </w:rPr>
        <w:t>E. 3.1</w:t>
      </w:r>
    </w:p>
    <w:p>
      <w:r>
        <w:t>Der Beschwerdeführer unterbreitet dem Bundesgericht losgelöst von den Feststellungen im angefochtenen Urteil eine eigene Darstellung der Kommunikation der Parteien, der Vertragsverhandlungen und des Vertragsschlusses sowie weiterer Einzelheiten hinsichtlich des Arbeitsverhältnisses, ohne dabei hinreichend begründet Ausnahmen von der Sachverhaltsbindung des Bundesgerichts geltend zu machen. Der Beschwerdeführer versucht, diese Darstellung mit denjenigen Beilagen zu untermauern, die bereits die Vorinstanz als unzulässige Noven aus dem Recht gewiesen hat. Mit dieser Begründung befasst sich der Beschwerdeführer nicht, sondern hält der Vorinstanz pauschal vor, Beweise ignoriert zu haben und mit Rückgriff auf die "Semantik" dem Beschwerdeführer den Beweis zu verwehren. Des Weiteren kritisiert der Beschwerdeführer die Feststellungen und Würdigung der Parteibefragung von C.________. Diese Vorbringen beschränken sich indessen auf eine pauschale Kritik an der Glaubwürdigkeit des befragten Parteivertreters, in offensichtlich unsubstanziierten Gegenbehauptungen und Anschuldigungen der Falschaussage sowie in Vorwürfen hinsichtlich des Ablaufs der Befragung. Der Beschwerdeführer erhebt damit offensichtlich keine hinreichenden Sachverhaltsrügen. Darauf kann nicht eingetreten werden.</w:t>
      </w:r>
    </w:p>
    <w:p>
      <w:r>
        <w:rPr>
          <w:b/>
        </w:rPr>
        <w:t>E. 3.2</w:t>
      </w:r>
    </w:p>
    <w:p>
      <w:r>
        <w:t>Der Beschwerdeführer wiederholt in wesentlichen Teilen wortwörtlich den bereits vorinstanzlich vorgetragenen Standpunkt, ohne sich hinreichend mit der vorinstanzlichen Begründung auseinanderzusetzen. Aus diesen Wiederholungen und unzulässigen Ergänzungen des Sachverhalts schliesst der Beschwerdeführer pauschal darauf, die Kündigungsgründe seien "fabriziert" und die wahren Gründe seien entweder unbekannt oder falsch dargestellt worden, die Vorinstanz habe deshalb zu Unrecht die Kündigung als gültig qualifiziert und habe damit willkürlich, voreingenommen und unlogisch geurteilt. Er erwähnt zwar zahlreiche Gesetzes- und Verfassungsbestimmungen sowie auch Bestimmungen aus Staatsverträgen und macht allgemeine Ausführungen zur Missbräuchlichkeit von Kündigungen, zum Bonus oder zum Arbeitszeugnis, ohne sich indes konkret mit der Begründung des angefochtenen Urteils zu befassen und im Einzelnen aufzuzeigen, inwiefern die Vorinstanz Bundesrecht verletzt haben soll.</w:t>
      </w:r>
    </w:p>
    <w:p>
      <w:r>
        <w:rPr>
          <w:b/>
        </w:rPr>
        <w:t>E. 3.3</w:t>
      </w:r>
    </w:p>
    <w:p>
      <w:r>
        <w:t>Auf die Beschwerde ist somit mangels hinreichender Begründung nicht einzutreten ( Art. 108 Abs. 1 lit. b BGG ).</w:t>
      </w:r>
    </w:p>
    <w:p>
      <w:r>
        <w:rPr>
          <w:b/>
        </w:rPr>
        <w:t>E. 4</w:t>
      </w:r>
    </w:p>
    <w:p>
      <w:r>
        <w:t>Das Gesuch um Gewährung der unentgeltlichen Rechtspflege für das bundesgerichtliche Verfahren ist bereits wegen Aussichtslosigkeit abzuweisen ( Art. 64 Abs. 1 BGG ). Der Beschwerdeführer wird bei diesem Verfahrensausgang kostenpflichtig ( Art. 66 Abs. 1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