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4A_338/2007 vom 22. November 2007</w:t>
      </w:r>
    </w:p>
    <w:p>
      <w:r>
        <w:t>Bundesgericht, 2007-11-22, FR</w:t>
      </w:r>
    </w:p>
    <w:p>
      <w:r>
        <w:rPr>
          <w:b/>
        </w:rPr>
        <w:t xml:space="preserve">Quelle: </w:t>
      </w:r>
      <w:r>
        <w:t>https://mcp.opencaselaw.ch/entscheid/bger_4A_338_2007</w:t>
      </w:r>
    </w:p>
    <w:p>
      <w:r>
        <w:t>FR: TF 4A_338/2007 du 22 novembre 2007</w:t>
      </w:r>
    </w:p>
    <w:p>
      <w:r>
        <w:t>IT: TF 4A_338/2007 del 22 novembre 2007</w:t>
      </w:r>
    </w:p>
    <w:p>
      <w:pPr>
        <w:pStyle w:val="Heading2"/>
      </w:pPr>
      <w:r>
        <w:t>Erwägungen</w:t>
      </w:r>
    </w:p>
    <w:p>
      <w:r>
        <w:rPr>
          <w:b/>
        </w:rPr>
        <w:t>E. 1.1</w:t>
      </w:r>
    </w:p>
    <w:p>
      <w:r>
        <w:t>Le présent litige porte sur l'éconduction d'instance du mandataire prévue à l'art. 69 du Code de procédure civile du canton de Vaud du 14 décembre 1966 (CPC/VD). Selon cette disposition du droit de procédure cantonal, le mandataire qui agit au nom d'une partie au procès peut être requis de justifier de ses pouvoirs avant l'audience de jugement (al. 1). A défaut de justification, il est éconduit d'instance et condamné aux dépens (al. 2). Le tribunal n'entre alors pas en matière sur la demande déposée par ce mandataire (cf. JT 2004 III 10 consid. 2d).</w:t>
      </w:r>
    </w:p>
    <w:p>
      <w:r>
        <w:rPr>
          <w:b/>
        </w:rPr>
        <w:t>E. 1.2</w:t>
      </w:r>
    </w:p>
    <w:p>
      <w:r>
        <w:t>La décision qui rejette l'éconduction d'instance est une décision incidente qui ne porte ni sur la compétence ni sur une demande de récusation ( art. 92 LTF ). Une telle décision incidente n'est susceptible de recours au Tribunal fédéral que si elle peut causer un dommage irréparable ( art. 93 al. 1 let. a LTF ) ou si l'admission du recours peut conduire immédiatement à une décision finale qui permet d'éviter une procédure probatoire longue et coûteuse ( art. 93 al. 1 let. b LTF ).</w:t>
      </w:r>
    </w:p>
    <w:p>
      <w:r>
        <w:rPr>
          <w:b/>
        </w:rPr>
        <w:t>E. 1.2.1</w:t>
      </w:r>
    </w:p>
    <w:p>
      <w:r>
        <w:t>La notion de préjudice irréparable de l' art. 93 al. 1 let. a LTF a été reprise de l'art. 87 al. 2 aOJ (Message concernant la révision totale de l'organisation judiciaire fédérale du 28 février 2001, FF 2001 p. 4000 ss [ci-après: Message], spéc. p. 4131). Un tel préjudice est un dommage juridique qui ne peut pas être réparé ultérieurement par un jugement final ou une autre décision favorable au recourant ( ATF 133 IV 139 consid. 4 p. 141, 288 consid. 3.1 p. 291).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Un dommage de pur fait, tel que la prolongation de la procédure ou un accroissement des frais de celle-ci, n'est pas considéré comme irréparable ( ATF 133 IV 139 consid. 4 p. 141).</w:t>
      </w:r>
    </w:p>
    <w:p>
      <w:r>
        <w:rPr>
          <w:b/>
        </w:rPr>
        <w:t>E. 1.2.2</w:t>
      </w:r>
    </w:p>
    <w:p>
      <w:r>
        <w:t>La règle de l' art. 93 al. 1 let. b LTF est pour sa part reprise de celle de l'art. 50 al. 1 aOJ (Message, p. 4131). L'ouverture du recours, pour des motifs d'économie de procédure, contre les décisions préjudicielles ou incidentes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si les conditions de recevabilité sont réalisées. Ainsi, s'il découle manifestement de la décision attaquée ou de la nature de la cause que la poursuite de la procédure prendra un temps considérable et exigera des frais très importants, il peut être renoncé à une longue démonstration. En revanche, si tel n'est pas le cas, la partie recourante doit indiquer de manière détaillée quelles questions de fait sont encore litigieuses et quelles sont les preuves longues et coûteuses qui devraient être administrées ( ATF 133 IV 288 consid. 3.2; cf. également arrêt 4A_144/2007 du 29 août 2007, destiné à la publication, consid. 2.4.2).</w:t>
      </w:r>
    </w:p>
    <w:p>
      <w:r>
        <w:t>Quant à la condition selon laquelle l'admission du recours peut conduire immédiatement à une décision finale, elle suppose que le Tribunal fédéral puisse lui-même mettre fin définitivement à la procédure en jugeant différemment la question tranchée dans la décision préjudicielle ou incidente. La solution inverse de celle retenue dans la décision préjudicielle doit mettre fin au procès au fond; tel n'est pas le cas si le Tribunal fédéral peut seulement renvoyer la cause à la juridiction cantonale pour compléter l'instruction ou appliquer sa procédure et statuer à nouveau (arrêt 4A_232/2007 du 2 octobre 2007, destiné à la publication, consid. 1.1; ATF 129 III 288 consid. 2.3.3).</w:t>
      </w:r>
    </w:p>
    <w:p>
      <w:r>
        <w:rPr>
          <w:b/>
        </w:rPr>
        <w:t>E. 1.3</w:t>
      </w:r>
    </w:p>
    <w:p>
      <w:r>
        <w:t>Le recourant, à bon escient, ne se prévaut pas d'un risque de préjudice irréparable au sens de l' art. 93 al. 1 let. a LTF . Il invoque par contre l' art. 93 al. 1 let. b LTF . A cet égard, il allègue simplement que "l'admission du recours aurait pour effet d'invalider l'ouverture d'action en entraînant l'éconduction de Me W.________, ce qui aurait pour effet de mettre un terme à la totalité de la procédure, faute d'une demande correctement formée" et que "le procès prendrait ainsi fin".</w:t>
      </w:r>
    </w:p>
    <w:p>
      <w:r>
        <w:t>En l'occurrence, se pose la question de savoir si le Tribunal fédéral pourrait, en cas d'admission du recours, lui-même prononcer l'éconduction d'instance du mandataire en application de l' art. 69 CPC /VD. Certes, en vertu de l' art. 107 al. 2 LTF , repris de l'art. 114 al. 2 aOJ relatif à l'ancien recours de droit administratif (Message, p. 4142 s.), le Tribunal fédéral est habilité à statuer lui-même sur le fond. On peut toutefois se demander si, hormis dans les cas expressément prévus par la loi (cf. art. 68 al. 5 LTF ), il peut le faire aussi lorsqu'il s'agit de rendre une décision fondée sur le seul droit cantonal de procédure, car ce n'est en soi pas le rôle du Tribunal fédéral d'appliquer le droit cantonal (cf. art. 189 Cst. ). La question n'est pas abordée dans le message. Il y est toutefois dit que le bien-fondé d'un recours pour violation d'une liberté fondamentale aboutira ordinairement à la seule annulation de la décision cantonale; or une décision fondée sur le droit de procédure cantonal ne peut être attaquée que pour violation de la garantie constitutionnelle contre l'arbitraire (cf. art. 95 LTF ). La question n'a enfin pas été discuté lors de débats parlementaires. Elle peut rester indécise en l'espèce.</w:t>
      </w:r>
    </w:p>
    <w:p>
      <w:r>
        <w:t>En effet, le recourant ne démontre pas en quoi la procédure probatoire jusqu'au jugement final prendrait un temps considérable et exigerait des frais très importants; il n'en dit mot. Or, rien ne permet de penser que cela sera le cas. Il s'agira d'examiner si l'engagement du comité régional de A.________, sur lequel la fondation intimée appuie sa demande, est valable. Il n'apparaît pas et n'est en tout cas pas manifeste que cela exigera une instruction particulièrement longue et coûteuse, même si le recourant, comme il l'annonce, objectera que la fondation intimée est frauduleuse, a été constituée sans droit par des syndicalistes dissidents et n'a jamais eu d'existence ni économique, ni pratique, ni juridique. Dans ces conditions, le recours est irrecevable.</w:t>
      </w:r>
    </w:p>
    <w:p>
      <w:r>
        <w:rPr>
          <w:b/>
        </w:rPr>
        <w:t>E. 2</w:t>
      </w:r>
    </w:p>
    <w:p>
      <w:r>
        <w:t>Compte tenu de l'issue du litige, les frais judiciaires et les dépens de la fondation intimée sont mis à la charge de la recourante, qui succombe ( art. 65 al. 2 et 3 let. b LTF , 66 al. 1 ainsi que 68 al. 1 et 2 LTF). Il ne se justifie en revanche pas d'allouer des dépens à la banque intimée, qui ne s'est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