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337/2020 vom 9. Oktober 2020</w:t>
      </w:r>
    </w:p>
    <w:p>
      <w:r>
        <w:t>Bundesgericht, 2020-10-09, DE</w:t>
      </w:r>
    </w:p>
    <w:p>
      <w:r>
        <w:rPr>
          <w:b/>
        </w:rPr>
        <w:t xml:space="preserve">Quelle: </w:t>
      </w:r>
      <w:r>
        <w:t>https://mcp.opencaselaw.ch/entscheid/bger_4A_337_2020</w:t>
      </w:r>
    </w:p>
    <w:p>
      <w:r>
        <w:t>FR: TF 4A 337/2020 du 9 octobre 2020</w:t>
      </w:r>
    </w:p>
    <w:p>
      <w:r>
        <w:t>IT: TF 4A 337/2020 del 9 ottobre 2020</w:t>
      </w:r>
    </w:p>
    <w:p>
      <w:pPr>
        <w:pStyle w:val="Heading2"/>
      </w:pPr>
      <w:r>
        <w:t>Regeste</w:t>
      </w:r>
    </w:p>
    <w:p>
      <w:r>
        <w:t>Mieterausweisung | Vertragsrecht</w:t>
      </w:r>
    </w:p>
    <w:p>
      <w:pPr>
        <w:pStyle w:val="Heading2"/>
      </w:pPr>
      <w:r>
        <w:t>Erwägungen</w:t>
      </w:r>
    </w:p>
    <w:p>
      <w:r>
        <w:rPr>
          <w:b/>
        </w:rPr>
        <w:t>E. 1.1</w:t>
      </w:r>
    </w:p>
    <w:p>
      <w:r>
        <w:t>Der angefochtene Entscheid des Kantonsgerichts ist ein Endentscheid ( Art. 90 BGG ) einer Vorinstanz im Sinne von Art. 75 BGG . Die Vorinstanz errechnete einen Streitwert von Fr. 36'000.--, allerdings ohne sich streng an die in BGE 144 III 346 E. 1.2 dargestellten Grundsätze zur Streitwertberechnung bei Ausweisungsklagen im Verfahren um Rechtsschutz in klaren Fällen zu halten. Ob der gemäss Art. 74 Abs. 1 lit. a BGG in mietrechtlichen Fällen vorausgesetzte Streitwert in Höhe von Fr. 15'000.-- im vorliegenden Fall erreicht wird, kann indes offen bleiben. Denn die Beschwerde ist - wie nachfolgend aufzuzeigen sein wird - ohnehin abzuweisen, soweit darauf eingetreten werden kann.</w:t>
      </w:r>
    </w:p>
    <w:p>
      <w:r>
        <w:rPr>
          <w:b/>
        </w:rPr>
        <w:t>E. 1.2</w:t>
      </w:r>
    </w:p>
    <w:p>
      <w:r>
        <w:t>Die Beschwerdeführer beantragen die Aufhebung des angefochtenen Entscheids und die Rückweisung der Sache an die kantonalen Gerichte. Einen materiellen Antrag, wie er nach Art. 42 Abs. 1 BGG erforderlich ist, stellen sie nicht. Indessen geht aus der Beschwerdebegründung mit genügender Klarheit hervor, dass die Beschwerdeführer in der Sache verlangen, auf das Ausweisungsgesuch nicht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3</w:t>
      </w:r>
    </w:p>
    <w:p>
      <w:r>
        <w:t>Die Beschwerdeführer werfen der Beschwerdegegnerin rechtsmissbräuchliches Verhalten vor.</w:t>
      </w:r>
    </w:p>
    <w:p>
      <w:r>
        <w:rPr>
          <w:b/>
        </w:rPr>
        <w:t>E. 3.1</w:t>
      </w:r>
    </w:p>
    <w:p>
      <w:r>
        <w:t>Sie führen aus, der Beschwerdeführer 1 sei Hauptaktionär der Beschwerdegegnerin. Er habe am 8. März 2019 die Einberufung einer ausserordentlichen Generalversammlung verlangt; dieser Antrag sei vom Verwaltungsrat der Beschwerdegegnerin indes abgewiesen worden. Mit Urteil vom 15. Oktober 2019 habe der Einzelrichter am Kantonsgericht Appenzell Ausserrhoden auf das Gesuch des Beschwerdeführers 1 hin die Einberufung einer ausserordentlichen Generalversammlung angeordnet. Dieser Entscheid sei vom Obergericht des Kantons Appenzell Ausserrhoden mit Urteil vom 12. Februar 2020 und vom Bundesgericht mit Urteil 4A_134/2020 vom 15. Juni 2020 geschützt worden. Damit - so die Beschwerdeführer weiter - stehe fest, dass "in Kürze" eine ausserordentliche Generalversammlung der Beschwerdegegnerin stattfinden werde. An dieser könne sich der Beschwerdeführer 1 "mit seiner Stimmenmehrheit" selbst zum neuen und einzigen Verwaltungsratsmitglied wählen. Alsdann werde er das Ausweisungsbegehren und die Kündigung des Mietvertrags "sofort zurückziehen und stoppen". Die derzeitigen Verwaltungsratsmitglieder der Beschwerdegegnerin wollten ihnen (den Beschwerdeführern) bis dahin "Steine wie nur möglich in den Weg legen" und sie "mit allen Mitteln aus dem Haus werfen", bevor der Beschwerdeführer 1 "die Geschicke" der Beschwerdegegnerin wieder bestimme. Indem die Beschwerdegegnerin am Ausweisungsbegehren festhalte, "im Wissen um die genauen und gerichtlich bestätigten Machtverhältnisse", handle sie "rechtsmissbräuchlich sondergleichen". Dies habe das Kantonsgericht verkannt. Ausserdem verweisen die Beschwerdeführer auf zwei in der Zwischenzeit abgehaltene Generalversammlungen der Beschwerdegegnerin vom 6. Dezember 2019 und vom 10. März 2020, mit denen in "aktienrechtlich unzulässige[r] und strafbare[r]" Weise versucht worden sei, dem Beschwerdeführer 1 die "Zurückerlangung der Kontrolle" über die Beschwerdegegnerin zu erschweren und ihn "finanziell zu schädigen".</w:t>
      </w:r>
    </w:p>
    <w:p>
      <w:r>
        <w:rPr>
          <w:b/>
        </w:rPr>
        <w:t>E. 3.2.1</w:t>
      </w:r>
    </w:p>
    <w:p>
      <w:r>
        <w:t>Gemäss Art. 257 Abs. 1 ZPO gewährt das Gericht Rechtsschutz im summarischen Verfahren, wenn: a. der Sachverhalt unbestritten oder sofort beweisbar ist; und b. die Rechtslage klar ist. Eine klare Rechtslage liegt vor, wenn sich die Rechtsfolge bei der Anwendung des Gesetzes unter Berücksichtigung der Lehre und Rechtsprechung ohne Weiteres ergibt und damit die Rechtsanwendung zu einem eindeutigen Ergebnis führt ( BGE 141 III 23 E. 3.2 S. 26 mit Hinweisen).</w:t>
      </w:r>
    </w:p>
    <w:p>
      <w:r>
        <w:rPr>
          <w:b/>
        </w:rPr>
        <w:t>E. 3.2.2</w:t>
      </w:r>
    </w:p>
    <w:p>
      <w:r>
        <w:t>Die Rechtslage ist in der Regel nicht klar, wenn die Anwendung einer Norm einen Ermessens- oder Billigkeitsentscheid des Gerichts mit wertender Berücksichtigung der gesamten Umstände erfordert, wie dies namentlich bei der Beurteilung von Treu und Glauben zutrifft ( BGE 141 III 23 E. 3.2 S. 26; 138 III 123 E. 2.1.2; je mit Hinweisen). Die beispielhafte Erwähnung der Beurteilung von Treu und Glauben in der zitierten Rechtsprechung ist nicht so zu verstehen, dass ein klarer Fall in rechtlicher Hinsicht verneint werden muss, sobald vom Gesuchsgegner eine missbräuchliche Rechtsausübung durch den Gesuchssteller geltend gemacht wird oder aufgrund der vorgetragenen Tatsachen entfernt in Betracht gezogen werden könnte. Das Rechtsmissbrauchsverbot nach Art. 2 Abs. 2 ZGB hindert den Ansprecher nur an der Rechtsausübung, wenn dieselbe nach den Umständen des Einzelfalls offenbar missbräuchlich erfolgt. Ein klarer Fall ist somit unter dem Gesichtswinkel des Rechtsmissbrauchsverbots nur dann zu verneinen, wenn Umstände vorliegen, nach denen das Verhalten des Ansprechers offenkundig einen Missbrauch darstellt (Urteile 4A_623/2019 vom 26. Mai 2020 E. 4.3.2; 4A_329/2013 vom 10. Dezember 2013 E. 6.1).</w:t>
      </w:r>
    </w:p>
    <w:p>
      <w:r>
        <w:rPr>
          <w:b/>
        </w:rPr>
        <w:t>E. 3.3.1</w:t>
      </w:r>
    </w:p>
    <w:p>
      <w:r>
        <w:t>Die Beschwerdeführer gehen verschiedentlich über die tatsächlichen Feststellungen im angefochtenen Urteil hinaus, ohne indes hinreichend begründete Sachverhaltsrügen zu erheben. Andernorts erschöpfen sich ihre Ausführungen in appellatorischer Kritik an Handlungen der Beschwerdegegnerin beziehungsweise ihrer Verwaltungsratsmitglieder - so, wenn sie ihnen in nicht ohne Weiteres nachvollziehbarer Weise ein "strafbare[s] Vorgehen" unterstellen -, ohne dass anhand des angefochtenen Entscheids aufgezeigt würde, worin konkret eine Rechtsverletzung bestehen soll. Insoweit ist auf die Beschwerde nicht einzutreten (Erwägungen 2.1 f.). Im Übrigen ist Folgendes zu bemerken:</w:t>
      </w:r>
    </w:p>
    <w:p>
      <w:r>
        <w:rPr>
          <w:b/>
        </w:rPr>
        <w:t>E. 3.3.2</w:t>
      </w:r>
    </w:p>
    <w:p>
      <w:r>
        <w:t>Es steht fest (und wurde in einem anderen Verfahren rechtskräftig entschieden), dass das Mietverhältnis per Ende August 2017 beendet wurde. Seither befinden sich die Beschwerdeführer ohne Rechtstitel im Mietobjekt. Dies wird von ihnen nicht in Frage gestellt (auch nicht dadurch, dass der Beschwerdeführer 1 im bundesgerichtlichen Verfahren unter neuer Adresse handelt). Sie widersetzen sich der Ausweisung aber unter Hinweis auf ein angeblich rechtsmissbräuchliches Verhalten der Beschwerdegegnerin. Ein solches ist jedoch nicht auszumachen. Vielmehr nimmt die Beschwerdegegnerin - wie die Vorinstanz zutreffend ausführte - die im Gesetz vorgesehenen Behelfe zur Durchsetzung ihrer Rechte in Anspruch, nachdem die Beschwerdeführer trotz der zufolge Zahlungsrückstands erfolgten (gültigen) Kündigung die Wohnung nicht räumten. Die Argumentation der Beschwerdeführer, dass "demnächst" verschiedene gesellschaftsrechtliche Beschlüsse gefasst werden sollen, aus denen letztlich ein Rückzug des Ausweisungsbegehrens folge, stützt sich auf Hypothesen, deren Verwirklichung mit Blick auf den vorinstanzlich festgestellten Sachverhalt keineswegs sicher scheint. Das Kantonsgericht stellte denn auch verbindlich fest, dass die Aktionärsverhältnisse "umstritten" seien. Unabhängig davon lässt sich aus den Ausführungen der Beschwerdeführer aber offensichtlich nicht schliessen, die Beschwerdegegnerin beziehungsweise die für sie derzeit gültig handelnden Vertreter verhielten sich rechtsmissbräuchlich, wenn sie an der Ausweisung der sich seit geraumer Zeit ohne Rechtstitel im Mietobjekt aufhaltenden Beschwerdeführer festhalten. Erst recht kann nicht von offenbarem Missbrauch des Rechts die Rede sein, wie dies Art. 2 Abs. 2 ZGB voraussetzt und was nur restriktiv anzunehmen ist ( BGE 143 III 666 S. 673 mit Hinweisen). Nicht schlüssig ist auch die - bereits im kantonalen Verfahren eingebrachte, indes nicht weiter begründete - Behauptung, die Durchsetzung der "Aktionärsrechte" werde dem Beschwerdeführer 1 erschwert, wenn er mit seiner Familie "aus der Wohnung geworfen" werde. Die offensichtlich unbegründete Berufung auf das Rechtsmissbrauchsverbot durch die Beschwerdeführer führt damit nicht zur Illiquidität der Rechtslage. Dies hat die Vorinstanz zu Recht erkannt. Folglich ist nicht zu beanstanden, wenn sie den erstinstanzlichen Ausweisungsentscheid schützte. Vor diesem Hintergrund erübrigt es sich, auf die Noveneingabe der Beschwerdegegnerin vom 31. August 2020 und die dazu eingereichten Stellungnahmen der Beschwerdeführer vom 7. und vom 15. September 2020 einzugehen. Darin streiten die Parteien (unter anderem) über die Aktionärseigenschaft des Beschwerdeführers 1, unter Hinweis auf die bundesgerichtlichen Verfahren 4A_134/2020 und 4F_7/2020. Darüber braucht vorliegend nicht entschieden zu werden. Abgesehen davon zeigen die Parteien nicht auf, inwiefern die in den erwähnten Eingaben neu vorgebrachten Tatsachen und Beweismittel zulässig sein sollten (siehe Art. 99 Abs. 1 BGG ). Das nachträglich eingegebene Sistierungsbegehren ist entsprechend abzuweisen, sodass offen bleiben kann, ob es überhaupt verfahrenskonform gestellt wurde. Der von den Beschwerdeführern beantragte Beizug der Akten der Verfahren 4A_134/2020 und 4F_7/2020 erübrigt sich. Auch die Noveneingabe vom 29. September 2020 ist aus den gleichen Gründen ( Art. 99 Abs. 1 BGG ) unzulässig.</w:t>
      </w:r>
    </w:p>
    <w:p>
      <w:r>
        <w:rPr>
          <w:b/>
        </w:rPr>
        <w:t>E. 4</w:t>
      </w:r>
    </w:p>
    <w:p>
      <w:r>
        <w:t>Die Beschwerde ist abzuweisen, soweit darauf eingetreten werden kann. Mit dem Entscheid in der Sache wird das Gesuch der Beschwerdeführer vom 15. September 2020, die aufschiebende Wirkung "weiter aufrecht zu erhalten", gegenstandslos. Bei diesem Ausgang des Verfahrens sind die Gerichtskosten gemäss Art. 66 Abs. 1 und 5 BGG den Beschwerdeführern unter solidarischer Haftbarkeit aufzuerlegen. Der Beschwerdegegnerin, die sich nur zum Gesuch um Erteilung der aufschiebenden Wirkung zu äussern hatte, steht kein Entschädigungsanspruch zu; ihrem Antrag, die aufschiebende Wirkung nicht zu erteilen, wurde nicht entsprochen (siehe Urteil 4A_651/2015 vom 19. April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