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4A_337/2013 vom 12. November 2013</w:t>
      </w:r>
    </w:p>
    <w:p>
      <w:r>
        <w:t>Bundesgericht, 2013-11-12, FR</w:t>
      </w:r>
    </w:p>
    <w:p>
      <w:r>
        <w:rPr>
          <w:b/>
        </w:rPr>
        <w:t xml:space="preserve">Quelle: </w:t>
      </w:r>
      <w:r>
        <w:t>https://mcp.opencaselaw.ch/entscheid/bger_4A_337_2013</w:t>
      </w:r>
    </w:p>
    <w:p>
      <w:r>
        <w:t>FR: TF 4A_337/2013 du 12 novembre 2013</w:t>
      </w:r>
    </w:p>
    <w:p>
      <w:r>
        <w:t>IT: TF 4A_337/2013 del 12 novembre 2013</w:t>
      </w:r>
    </w:p>
    <w:p>
      <w:pPr>
        <w:pStyle w:val="Heading2"/>
      </w:pPr>
      <w:r>
        <w:t>Erwägungen</w:t>
      </w:r>
    </w:p>
    <w:p>
      <w:r>
        <w:rPr>
          <w:b/>
        </w:rPr>
        <w:t>E. 1</w:t>
      </w:r>
    </w:p>
    <w:p>
      <w:r>
        <w:t>Selon la jurisprudence relative à l' art. 42 al. 1 LTF , les conclusions présentées dans une contestation relative à une somme d'argent doivent être chiffrées ( ATF 134 III 235 consid. 2). Celles présentées en l'espèce par la défenderesse ne satisfont pas à cette exigence; leur portée ne peut au contraire être élucidée que d'après la motivation du recours. Ladite exigence aurait dû être respectée en appel déjà, comme l'autorité précédente l'a relevé, de sorte que la défenderesse, à supposer que son conseil ait pu l'ignorer, en a été avertie. Elle persiste néanmoins dans un procédé incorrect, de sorte que le recours en matière civile paraît irrecevable. On verra cependant qu'il est de toute manière mal fondé.</w:t>
      </w:r>
    </w:p>
    <w:p>
      <w:r>
        <w:rPr>
          <w:b/>
        </w:rPr>
        <w:t>E. 2</w:t>
      </w:r>
    </w:p>
    <w:p>
      <w:r>
        <w:t>Il est constant que les parties se sont liées par un contrat de travail, susceptible d'une résiliation ordinaire avec observation d'un délai de congé, selon l' art. 335c CO , ou d'une résiliation immédiate pour de justes motifs, selon l' art. 337 CO .</w:t>
      </w:r>
    </w:p>
    <w:p>
      <w:r>
        <w:rPr>
          <w:b/>
        </w:rPr>
        <w:t>E. 3</w:t>
      </w:r>
    </w:p>
    <w:p>
      <w:r>
        <w:t>La défenderesse soutient que le demandeur a abruptement abandonné son emploi, sans observer le délai de congé, et qu'il a ainsi mis fin au contrat. Elle se réfère à l' art. 337d CO , lequel régit les conséquences du comportement du travailleur abandonnant son emploi sans justes motifs.</w:t>
      </w:r>
    </w:p>
    <w:p>
      <w:r>
        <w:t>L'abandon de poste entraîne en effet l'expiration immédiate du contrat; il est réalisé lorsque le travailleur refuse consciemment, intentionnellement et définitivement de continuer à fournir le travail convenu ( ATF 121 V 277 consid. 3a p. 281).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consid. 3.2 p. 412; 133 III 675 consid. 3.3 p. 681),est ici déterminant (arrêt 4C.339/2006 du 21 décembre 2006, consid. 2.1). Lorsque l'attitude du travailleur est équivoque, il incombe à l'employeur de le mettre en demeure de reprendre son activité. Dans le procès, il lui incombe de prouver les faits propres à dénoter un abandon de poste (arrêt 4C.169/2001 du 22 août 2001, consid. 3b/aa).</w:t>
      </w:r>
    </w:p>
    <w:p>
      <w:r>
        <w:t>D'après les constatations de fait qui lient le Tribunal fédéral ( art. 105 al. 1 LTF ), le demandeur a rendu ses clés et quitté les locaux sitôt après l'altercation du 8 décembre 2010. Un collègue est allé le rechercher et il est revenu sur un chantier le jour même. Il s'est trouvé en incapacité de travail pour cause médicale dès le lendemain et jusqu'au 16 décembre. Par courrier de ce jour-ci, il a offert ses services à l'employeuse dès qu'il aurait retrouvé sa capacité de travail. Au regard de ces éléments, la Cour d'appel juge que le demandeur n'a pas manifesté l'intention irrévocable d'abandonner définitivement son travail. En dépit de l'opinion contraire de la défenderesse, cette appréciation mérite l'adhésion du Tribunal fédéral.</w:t>
      </w:r>
    </w:p>
    <w:p>
      <w:r>
        <w:t>La défenderesse a soutenu que trois jours après l'altercation, le demandeur est venu restituer ses vêtements de travail et un téléphone portable; elle invoquait à titre de preuve une déposition du demandeur dans l'enquête pénale.</w:t>
      </w:r>
    </w:p>
    <w:p>
      <w:r>
        <w:t>Sur la base d'un récépissé signé de l'employeuse et daté du 22 décembre 2010, la Cour d'appel retient que la restitution des vêtements et du téléphone est intervenue ce jour-ci seulement, soit après que le demandeur avait vainement offert de reprendre son travail. Parce que la déposition a été recueillie plusieurs mois après les faits, le 26 septembre 2011, la Cour attribue une force probante plus élevée au récépissé. Devant le Tribunal fédéral, la défenderesse conteste cette appréciation des preuves; elle fait notamment valoir que la restitution effective des objets a pu intervenir avant la confection du récépissé.</w:t>
      </w:r>
    </w:p>
    <w:p>
      <w:r>
        <w:t>A supposer que le demandeur ait voulu quitter définitivement l'entreprise et, en conséquence, restituer les vêtements et le téléphone trois jours déjà après l'altercation, on envisage difficilement qu'il se soit dessaisi de ces objets sans exiger aussitôt un récépissé. Il n'est donc pas vraisemblable que la défenderesse ait pu attendre près de dix jours pour créer ce document; il semble au contraire plus probable que la restitution soit intervenue à la date indiquée. Pour le surplus, la Cour d'appel a opéré un choix objectif entre des éléments de preuve divergents. La défenderesse ne parvient donc pas à mettre en évidence une constatation manifestement inexacte des faits, sujette à rectification selon les art. 97 al. 1 et 105 al. 2 LTF.</w:t>
      </w:r>
    </w:p>
    <w:p>
      <w:r>
        <w:rPr>
          <w:b/>
        </w:rPr>
        <w:t>E. 4</w:t>
      </w:r>
    </w:p>
    <w:p>
      <w:r>
        <w:t>La défenderesse soutient qu'elle a elle-même mis fin au contrat en le résiliant conformément à l' art. 337 al. 1 CO .</w:t>
      </w:r>
    </w:p>
    <w:p>
      <w:r>
        <w:t>La Cour d'appel juge que les faits survenus le 10 décembre 2010, tels qu'elle a pu les constater, n'étaient pas suffisamment graves pour justifier un licenciement abrupt du demandeur. Cette appréciation est elle aussi convaincante au regard de la jurisprudence relative au licenciement pour de justes motifs (cf. ATF 130 III 28 consid. 4.1 p. 31; 129 III 380 consid. 2.2 p. 382); elle n'est d'ailleurs pas sérieusement contestée par la défenderesse.</w:t>
      </w:r>
    </w:p>
    <w:p>
      <w:r>
        <w:t>Celle-ci fait seulement grief à la Cour d'appel de n'avoir pas pris en considération le certificat médical du 14 décembre 2010, attestant que U.________ avait subi la semaine précédente un important stress psychologique dans le cadre de son travail. La défenderesse n'explique toutefois pas en quoi ce document aurait dû influencer l'appréciation à porter sur les événements du 10 décembre; le moyen tiré d'une application prétendument incorrecte de l' art. 337 al. 1 CO est donc insuffisamment motivé.</w:t>
      </w:r>
    </w:p>
    <w:p>
      <w:r>
        <w:rPr>
          <w:b/>
        </w:rPr>
        <w:t>E. 5</w:t>
      </w:r>
    </w:p>
    <w:p>
      <w:r>
        <w:t>La défenderesse fait valoir que les conclusions de la demande en justice du 26 avril 2011 ne portaient pas sur la remise d'un certificat de travail; elle soutient que l'action a été accueillie, sur cet objet, en violation de l' art. 58 CPC .</w:t>
      </w:r>
    </w:p>
    <w:p>
      <w:r>
        <w:t>Les précédents juges ont pris en considération l'un des allégués de la demande qui se lisait ainsi : « Le demandeur a requis et requiert toujours un certificat de travail complet .» La Cour d'appel a jugé qu'il y aurait formalisme excessif à l'ignorer au seul motif qu'il aurait dû apparaître ailleurs dans le mémoire, c'est-à-dire dans les conclusions. Cette appréciation est elle aussi convaincante. Compte tenu que la défenderesse ne consacre elle-même que peu de soin à la rédaction de ses propres conclusions, elle ne saurait se plaindre d'une appréciation insuffisamment rigoureuse.</w:t>
      </w:r>
    </w:p>
    <w:p>
      <w:r>
        <w:rPr>
          <w:b/>
        </w:rPr>
        <w:t>E. 6</w:t>
      </w:r>
    </w:p>
    <w:p>
      <w:r>
        <w:t>Les prestations mises à la charge de la défenderesse ne sont pour le surplus pas discutées dans l'acte de recours, de sorte qu'elles échappent à l'examen du Tribunal fédéral.</w:t>
      </w:r>
    </w:p>
    <w:p>
      <w:r>
        <w:rPr>
          <w:b/>
        </w:rPr>
        <w:t>E. 7</w:t>
      </w:r>
    </w:p>
    <w:p>
      <w:r>
        <w:t>Le recours se révèle privé de fondement, dans la mesure où il est 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