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336/2020 vom 30. Oktober 2019</w:t>
      </w:r>
    </w:p>
    <w:p>
      <w:r>
        <w:t>Bundesgericht, 2019-10-30, DE</w:t>
      </w:r>
    </w:p>
    <w:p>
      <w:r>
        <w:rPr>
          <w:b/>
        </w:rPr>
        <w:t xml:space="preserve">Quelle: </w:t>
      </w:r>
      <w:r>
        <w:t>https://mcp.opencaselaw.ch/entscheid/bger_4A_336_2020</w:t>
      </w:r>
    </w:p>
    <w:p>
      <w:r>
        <w:t>FR: TF 4A 336/2020 du 30 octobre 2019</w:t>
      </w:r>
    </w:p>
    <w:p>
      <w:r>
        <w:t>IT: TF 4A 336/2020 del 30 ottobre 2019</w:t>
      </w:r>
    </w:p>
    <w:p>
      <w:pPr>
        <w:pStyle w:val="Heading2"/>
      </w:pPr>
      <w:r>
        <w:t>Regeste</w:t>
      </w:r>
    </w:p>
    <w:p>
      <w:r>
        <w:t>Gesellschaftsrecht; Befehl | Gesellschaftsrecht</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Vorinstanz informierte die Parteien im angefochtenen Beschluss vorab über eine Änderung im Spruchkörper und legte dar, weshalb diese zulässig sei. Dagegen rügt die Beschwerdeführerin eine Verletzung ihres Anspruchs auf rechtliches Gehör sowie der Bestimmungen von Art. 178 ZPO , Art. 29a BV und Art. 30 BV . Sie begründet aber offensichtlich nicht hinreichend (Erwägung 1.1), inwiefern die Vorinstanz die genannten Bestimmungen verletzt haben soll, und geht darüberhinaus in freier Sachverhaltsschilderung über den vorinstanzlich festgestellten Sachverhalt hinaus (Erwägung 1.2). Darauf ist nicht einzutreten.</w:t>
      </w:r>
    </w:p>
    <w:p>
      <w:r>
        <w:rPr>
          <w:b/>
        </w:rPr>
        <w:t>E. 3.1</w:t>
      </w:r>
    </w:p>
    <w:p>
      <w:r>
        <w:t>Die Vorinstanz bejahte ihre Zuständigkeit für die Klage der Beschwerdegegnerinnen. Sie verwies dafür unter anderem auf den Beschluss vom 10. März 2020, worin sie sich gegenüber der Beschwerdeführerin für örtlich und sachlich zuständig erklärte und bekräftigte diesen Zuständigkeitsentscheid auch ausdrücklich gegenüber dem Beklagten 2. Die Vorinstanz stützte ihre sachliche Zuständigkeit auf den Umstand, dass es vorliegend um eine Streitigkeit aus dem Recht der Handelsgesellschaften gehe, bei welcher der Streitwert unstrittig klar über Fr. 30'000.-- liege.</w:t>
      </w:r>
    </w:p>
    <w:p>
      <w:r>
        <w:rPr>
          <w:b/>
        </w:rPr>
        <w:t>E. 3.2.1</w:t>
      </w:r>
    </w:p>
    <w:p>
      <w:r>
        <w:t>Dagegen argumentiert die Beschwerdeführerin, die Vorinstanz sei sachlich nicht zuständig, da weder die Beschwerdeführerin noch der Beklagte 2 als Privatpersonen im Handelsregister eingetragen seien. Es stelle sich daher die Frage, ob es zur Begründung der sachlichen Zuständigkeit des Handelsgerichts genüge, wenn nur ein Streitgenosse (die Beklagte 1) im Handelsregister eingetragen sei, was auf ein Wahlrecht des Klägers analog Art. 6 Abs. 3 ZPO hinauslaufen würde. Die Vorinstanz habe damit Art. 6 Abs. 3, Art. 15 und Art. 70 ZPO verletzt.</w:t>
      </w:r>
    </w:p>
    <w:p>
      <w:r>
        <w:rPr>
          <w:b/>
        </w:rPr>
        <w:t>E. 3.2.2</w:t>
      </w:r>
    </w:p>
    <w:p>
      <w:r>
        <w:t>Nach Art. 6 Abs. 4 lit. b ZPO sind die Kantone berechtigt, für Streitigkeiten aus dem Recht der Handelsgesellschaften und Genossenschaften das Handelsgericht für zuständig zu erklären, wovon der Kanton Zürich für Streitigkeiten mit einem Streitwert von mindestens Fr. 30'000.- Gebrauch gemacht hat (§ 44 lit. b des Zürcher Gesetzes vom 10. Mai 2010 über die Gerichts- und Behördenorganisation im Zivil- und Strafprozess, LS 211.1 [GOG/ZH]; BGE 140 III 550 E. 2.3 S. 551; 139 III 67 E. 1.2 S. 70; 138 III 471 E. 1.1 S. 476). Die Zuständigkeit des Zürcher Handelsgerichts ergibt sich in diesen Fällen somit aus dem Bestehen einer Streitigkeit aus dem Recht der Handelsgesellschaften und Genossenschaften ( Art. 6 Abs. 4 lit. b ZPO ) und aus dem Vorliegen eines Mindeststreitwertes von Fr. 30'000.-- (§ 44 lit. b GOG/ZH). Auf den Eintrag der Parteien im Handelsregister kommt es nicht an (Urteil 4A_358/2020 vom 25. August 2020 E. 2.2.2).</w:t>
      </w:r>
    </w:p>
    <w:p>
      <w:r>
        <w:rPr>
          <w:b/>
        </w:rPr>
        <w:t>E. 3.2.3</w:t>
      </w:r>
    </w:p>
    <w:p>
      <w:r>
        <w:t>Die Vorinstanz stützte sich auf die Zuständigkeit nach Art. 6 Abs. 4 lit. b ZPO i.V.m. § 44 lit. b GOG/ZH, da eine Streitigkeit aus dem Recht der Handelsgesellschaften vorliege und die Streitwertgrenze von Fr. 30'000.-- klar überschritten werde. Unter diesen Umständen brauchte für eine Zuständigkeit des Handelsgerichts weder die Beschwerdeführerin noch der Beklagte 2 im Handelsregister eingetragen zu sein. Die gegenteilige Argumentation der Beschwerdeführerin ist offensichtlich nicht stichhaltig. Die Beschwerdeführerin beruft sich sodann nicht darauf, zumindest offensichtlich nicht hinreichend, dass es sich vorliegend um keine Streitigkeit aus dem Recht der Handelsgesellschaften handeln würde. Ebensowenig macht sie geltend, dass die Streitwertgrenze von Fr. 30'000.-- nicht erreicht wäre. Die sachliche Zuständigkeit der Vorinstanz ist damit gegeben.</w:t>
      </w:r>
    </w:p>
    <w:p>
      <w:r>
        <w:rPr>
          <w:b/>
        </w:rPr>
        <w:t>E. 3.3</w:t>
      </w:r>
    </w:p>
    <w:p>
      <w:r>
        <w:t>Im Übrigen wendet sich die Beschwerdeführerin gegen die von der Vorinstanz bejahte (internationale und örtliche) Zuständigkeit. Sie macht dagegen eine Verletzung des Lugano-Übereinkommens sowie von Art. 27 BV geltend. Sie schildert aber dafür bloss in freier Ergänzung des vorinstanzlich festgestellten Sachverhalts ihre Auffassung (Erwägung 1.2), wonach die Vorinstanz für die Klage der Beschwerdegegnerinnen nicht zuständig sei, ohne aber hinreichend darzulegen (Erwägung 1.1), inwiefern die Vorinstanz die gerügten Bestimmungen verletzt hätte, als sie ihre Zuständigkeit bejahte.</w:t>
      </w:r>
    </w:p>
    <w:p>
      <w:r>
        <w:rPr>
          <w:b/>
        </w:rPr>
        <w:t>E. 4.1</w:t>
      </w:r>
    </w:p>
    <w:p>
      <w:r>
        <w:t>Die Vorinstanz verwarf die Einrede, die Beschwerdegegnerin 2 sei prozessunfähig und postulationsunfähig. Die Vorinstanz verwies auch dafür auf ihren vorgängigen Beschluss vom 10. März 2020, worin die teilweise deckungsgleichen prozessualen Begehren der Beschwerdeführerin abgewiesen wurden. Gegen diese Erwägungen der Vorinstanz macht die Beschwerdeführerin eine Verletzung einer Vielzahl von Bestimmungen geltend, insbesondere aus dem Zivilgesetzbuch, Obligationenrecht, Strafgesetzbuch sowie der Verfassungsbestimmungen von Art. 29 Abs. 2, Art. 30 und 9 BV . Sie beruft sich sodann auf die Nichtigkeit des Bezirksgerichtsurteils vom 16. Mai 2012. Sie legt aber auch hier bloss in freien Ausführungen ihre eigene Sicht der Dinge dar, ohne eine hinreichend begründete Sachverhaltsrüge zu erheben (Erwägung 1.2), und ohne nachvollziehbar darzulegen, inwiefern die Vorinstanz die gerügten Bestimmungen verletzt haben soll (Erwägung 1.1). Darauf ist nicht einzutreten. Im Übrigen ist die Beschwerdeführerin in diesem Zusammenhang auf die Erwägungen 4 und 5 im Urteil 4A_176/2020 vom 27. Mai 2020 hinzuweisen, in dem auf ihre Beschwerde gegen den vorgängigen Beschluss der Vorinstanz vom 10. März 2020 nicht eingetreten wurde.</w:t>
      </w:r>
    </w:p>
    <w:p>
      <w:r>
        <w:rPr>
          <w:b/>
        </w:rPr>
        <w:t>E. 4.2</w:t>
      </w:r>
    </w:p>
    <w:p>
      <w:r>
        <w:t>Die Vorinstanz kam zum Schluss, dass die pauschalen Behauptungen des Beklagten 2, wonach das Stiftungsprotokoll vom 20. November 2012 manipuliert sein könnte, nicht verfangen würden. Dagegen beharrt die Beschwerdeführerin in freier Ergänzung des vorinstanzlich festgestellten Sachverhalts auf dem von ihrem Streitgenossen vor der Vorinstanz geltend gemachten Standpunkt und beruft sich auf eine Verletzung verschiedenster Bestimmungen. Sie legt aber auch diesbezüglich offensichtlich nicht hinreichend dar, inwiefern die Erwägung der Vorinstanz unrichtig wäre und welche Rechte die Vorinstanz damit verletzt haben sollte.</w:t>
      </w:r>
    </w:p>
    <w:p>
      <w:r>
        <w:rPr>
          <w:b/>
        </w:rPr>
        <w:t>E. 5</w:t>
      </w:r>
    </w:p>
    <w:p>
      <w:r>
        <w:t>Nach dem Ausgeführten erweist sich die Beschwerde grössenteils als offensichtlich unzureichend begründet, im Übrigen ist sie offensichtlich unbegründet. Sie ist daher im vereinfachten Verfahren ( Art. 109 Abs. 2 lit. a BGG ) ohne Durchführung eines Schriftenwechsels und mit summarischer Begründung abzuweisen, soweit darauf überhaupt einzutreten ist.</w:t>
      </w:r>
    </w:p>
    <w:p>
      <w:r>
        <w:rPr>
          <w:b/>
        </w:rPr>
        <w:t>E. 6</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7</w:t>
      </w:r>
    </w:p>
    <w:p>
      <w:r>
        <w:t>Bei diesem Ausgang des Verfahrens sind die Gerichtskosten der Beschwerdeführerin aufzuerlegen ( Art. 66 Abs. 1 BGG ). Die Beschwerdegegnerinnen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