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4A_335/2025 vom 2. September 2025</w:t>
      </w:r>
    </w:p>
    <w:p>
      <w:r>
        <w:t>Bundesgericht, 2025-09-02, DE</w:t>
      </w:r>
    </w:p>
    <w:p>
      <w:r>
        <w:rPr>
          <w:b/>
        </w:rPr>
        <w:t xml:space="preserve">Quelle: </w:t>
      </w:r>
      <w:r>
        <w:t>https://mcp.opencaselaw.ch/entscheid/bger_4A_335_2025</w:t>
      </w:r>
    </w:p>
    <w:p>
      <w:r>
        <w:t>FR: TF 4A_335/2025 du 2 septembre 2025</w:t>
      </w:r>
    </w:p>
    <w:p>
      <w:r>
        <w:t>IT: TF 4A_335/2025 del 2 settembre 2025</w:t>
      </w:r>
    </w:p>
    <w:p>
      <w:pPr>
        <w:pStyle w:val="Heading2"/>
      </w:pPr>
      <w:r>
        <w:t>Erwägungen</w:t>
      </w:r>
    </w:p>
    <w:p>
      <w:r>
        <w:rPr>
          <w:b/>
        </w:rPr>
        <w:t>E. 1</w:t>
      </w:r>
    </w:p>
    <w:p>
      <w:r>
        <w:t>Mit Beschluss vom 21. Mai 2025 trat das Handelsgericht des Kantons Zürich auf eine von der Beschwerdeführerin gegen die Beschwerdegegner erhobene Forderungsklage mangels sachlicher Zuständigkeit nicht ein.</w:t>
      </w:r>
    </w:p>
    <w:p>
      <w:r>
        <w:t>Mit Eingabe vom 2. Juli 2025 erklärte die Beschwerdeführerin dem Bundesgericht, den Beschluss des Handelsgerichts vom 21. Mai 2025 mit 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Die Beschwerdeführerin setzt sich in ihrer Beschwerdeeingabe vom 2. Juli 2025 nicht hinreichend mit den Erwägungen des angefochtenen Beschlusses des Handelsgerichts vom 21. Mai 2025 auseinander und zeigt nicht rechtsgenügend auf, inwiefern die Vorinstanz mit ihrem Nichteintretensentscheid Bundesrecht verletzt hätte, sondern unterbreitet dem Bundesgericht in unzulässiger Weise ihre eigene Sicht der Dinge.</w:t>
      </w:r>
    </w:p>
    <w:p>
      <w:r>
        <w:t>Auf die Beschwerde ist somit im vereinfachten Verfahren nach Art. 108 Abs. 1 lit. b BGG nicht einzutreten.</w:t>
      </w:r>
    </w:p>
    <w:p>
      <w:r>
        <w:rPr>
          <w:b/>
        </w:rPr>
        <w:t>E. 3</w:t>
      </w:r>
    </w:p>
    <w:p>
      <w:r>
        <w:t>Die Beschwerdeführerin wird bei diesem Verfahrensausgang kostenpflichtig ( Art. 66 Abs. 1 BGG ). Den Beschwerdegegnern steht keine Parteientschädigung zu, da ihnen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